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A1" w:rsidRPr="00824B9B" w:rsidRDefault="00263BA1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3BA1" w:rsidRPr="00824B9B" w:rsidRDefault="00263BA1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63BA1" w:rsidRDefault="00263BA1" w:rsidP="002A3076">
      <w:pPr>
        <w:jc w:val="both"/>
        <w:rPr>
          <w:rFonts w:ascii="Times New Roman" w:hAnsi="Times New Roman"/>
          <w:sz w:val="28"/>
          <w:szCs w:val="28"/>
        </w:rPr>
      </w:pPr>
    </w:p>
    <w:p w:rsidR="002A3076" w:rsidRDefault="002A3076" w:rsidP="002A3076">
      <w:pPr>
        <w:jc w:val="both"/>
        <w:rPr>
          <w:rFonts w:ascii="Times New Roman" w:hAnsi="Times New Roman"/>
          <w:sz w:val="28"/>
          <w:szCs w:val="28"/>
        </w:rPr>
      </w:pPr>
    </w:p>
    <w:p w:rsidR="002A3076" w:rsidRPr="00824B9B" w:rsidRDefault="002A3076" w:rsidP="002A3076">
      <w:pPr>
        <w:jc w:val="both"/>
        <w:rPr>
          <w:rFonts w:ascii="Times New Roman" w:hAnsi="Times New Roman"/>
          <w:sz w:val="28"/>
          <w:szCs w:val="28"/>
        </w:rPr>
      </w:pP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Em resposta a impugnação </w:t>
      </w:r>
      <w:r w:rsidR="001B3109" w:rsidRPr="00824B9B">
        <w:rPr>
          <w:rFonts w:ascii="Times New Roman" w:hAnsi="Times New Roman"/>
          <w:sz w:val="28"/>
          <w:szCs w:val="28"/>
        </w:rPr>
        <w:t>apresentada em</w:t>
      </w:r>
      <w:r w:rsidRPr="00824B9B">
        <w:rPr>
          <w:rFonts w:ascii="Times New Roman" w:hAnsi="Times New Roman"/>
          <w:sz w:val="28"/>
          <w:szCs w:val="28"/>
        </w:rPr>
        <w:t xml:space="preserve"> face do edital de pregão eletrônico, para contratação de empresa especializada em serviços de produção de mídia para cobertura das sessões, gravação de spot e veiculação de mídia volante.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>Alega a impugnante que o presente edital contém condições que impossibilita a participação do impugnante na presente licitação, infringindo assim alguns dos princípios basilares da Lei de Licitações Públicas, infringindo a Lei Federal 8666/93, em especial isonomia, legalidade e impessoalidade.</w:t>
      </w:r>
    </w:p>
    <w:p w:rsidR="000730C5" w:rsidRPr="00824B9B" w:rsidRDefault="000730C5" w:rsidP="001B3109">
      <w:pPr>
        <w:jc w:val="both"/>
        <w:rPr>
          <w:rFonts w:ascii="Times New Roman" w:hAnsi="Times New Roman"/>
          <w:sz w:val="28"/>
          <w:szCs w:val="28"/>
        </w:rPr>
      </w:pPr>
    </w:p>
    <w:p w:rsidR="000730C5" w:rsidRPr="00824B9B" w:rsidRDefault="000730C5" w:rsidP="001B3109">
      <w:pPr>
        <w:jc w:val="both"/>
        <w:rPr>
          <w:rFonts w:ascii="Times New Roman" w:hAnsi="Times New Roman"/>
          <w:b/>
          <w:sz w:val="28"/>
          <w:szCs w:val="28"/>
        </w:rPr>
      </w:pPr>
      <w:r w:rsidRPr="00824B9B">
        <w:rPr>
          <w:rFonts w:ascii="Times New Roman" w:hAnsi="Times New Roman"/>
          <w:b/>
          <w:sz w:val="28"/>
          <w:szCs w:val="28"/>
        </w:rPr>
        <w:t>DAS ARGUMENTAÇÕES DA IMPUGNAÇÃO</w:t>
      </w:r>
    </w:p>
    <w:p w:rsidR="001B3109" w:rsidRPr="00824B9B" w:rsidRDefault="001B3109" w:rsidP="001B3109">
      <w:pPr>
        <w:jc w:val="both"/>
        <w:rPr>
          <w:rFonts w:ascii="Times New Roman" w:hAnsi="Times New Roman"/>
          <w:b/>
          <w:sz w:val="28"/>
          <w:szCs w:val="28"/>
        </w:rPr>
      </w:pPr>
    </w:p>
    <w:p w:rsidR="000730C5" w:rsidRPr="00824B9B" w:rsidRDefault="000730C5" w:rsidP="001B3109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824B9B">
        <w:rPr>
          <w:rFonts w:ascii="Times New Roman" w:hAnsi="Times New Roman"/>
          <w:b/>
          <w:sz w:val="28"/>
          <w:szCs w:val="28"/>
        </w:rPr>
        <w:t>Do prazo fixado para realização do certame</w:t>
      </w:r>
    </w:p>
    <w:p w:rsidR="001B3109" w:rsidRPr="00824B9B" w:rsidRDefault="001B3109" w:rsidP="001B3109">
      <w:pPr>
        <w:pStyle w:val="PargrafodaLista"/>
        <w:jc w:val="both"/>
        <w:rPr>
          <w:rFonts w:ascii="Times New Roman" w:hAnsi="Times New Roman"/>
          <w:b/>
          <w:sz w:val="28"/>
          <w:szCs w:val="28"/>
        </w:rPr>
      </w:pP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>Com razão a impugnante quando alega que o prazo de 08 (oito) dias úteis, pois conforme se verifica, a legislação estipulou que o prazo entre a publicação e a realização do certame deve atender o prazo de 08 dias úteis, tendo e vista que a publicação se deu em data de 07 de março e</w:t>
      </w:r>
      <w:proofErr w:type="gramStart"/>
      <w:r w:rsidRPr="00824B9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824B9B">
        <w:rPr>
          <w:rFonts w:ascii="Times New Roman" w:hAnsi="Times New Roman"/>
          <w:sz w:val="28"/>
          <w:szCs w:val="28"/>
        </w:rPr>
        <w:t>havendo durante tal intervalo a exclusão do primeiro dia de publicação, dos sábados e domingos e ainda, do dia 19 de março, sendo esse feriado municipal, a contagem somente seria correta, se o certame fosse realizado no dia 20 de março.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A restrição de participação de empresas locais no presente certame, não prevalece, visto tratar-se de pregão eletrônico, sendo possível a participação de qualquer empresa, de qualquer lugar, desde que existente </w:t>
      </w:r>
      <w:r w:rsidRPr="00824B9B">
        <w:rPr>
          <w:rFonts w:ascii="Times New Roman" w:hAnsi="Times New Roman"/>
          <w:sz w:val="28"/>
          <w:szCs w:val="28"/>
        </w:rPr>
        <w:lastRenderedPageBreak/>
        <w:t>as ferramentas tecnológicas necessárias, sendo inclusive esse um dos objetivos do pregão eletrônico, ampla participação.</w:t>
      </w:r>
    </w:p>
    <w:p w:rsidR="001B3109" w:rsidRPr="00824B9B" w:rsidRDefault="001B3109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>Alega ainda a desnecessidade de apresentação de balanço patrimonial e de certidão negativa de falência pelo empresário individual.</w:t>
      </w:r>
    </w:p>
    <w:p w:rsidR="000730C5" w:rsidRPr="00824B9B" w:rsidRDefault="000730C5" w:rsidP="001B3109">
      <w:pPr>
        <w:jc w:val="both"/>
        <w:rPr>
          <w:rFonts w:ascii="Times New Roman" w:hAnsi="Times New Roman"/>
          <w:sz w:val="28"/>
          <w:szCs w:val="28"/>
        </w:rPr>
      </w:pPr>
    </w:p>
    <w:p w:rsidR="000730C5" w:rsidRPr="00824B9B" w:rsidRDefault="000730C5" w:rsidP="001B3109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824B9B">
        <w:rPr>
          <w:rFonts w:ascii="Times New Roman" w:hAnsi="Times New Roman"/>
          <w:b/>
          <w:sz w:val="28"/>
          <w:szCs w:val="28"/>
        </w:rPr>
        <w:t>Da</w:t>
      </w:r>
      <w:r w:rsidR="00263BA1" w:rsidRPr="00824B9B">
        <w:rPr>
          <w:rFonts w:ascii="Times New Roman" w:hAnsi="Times New Roman"/>
          <w:b/>
          <w:sz w:val="28"/>
          <w:szCs w:val="28"/>
        </w:rPr>
        <w:t xml:space="preserve"> exigência de apresentação de Balanço Patrimonial</w:t>
      </w:r>
      <w:r w:rsidRPr="00824B9B">
        <w:rPr>
          <w:rFonts w:ascii="Times New Roman" w:hAnsi="Times New Roman"/>
          <w:b/>
          <w:sz w:val="28"/>
          <w:szCs w:val="28"/>
        </w:rPr>
        <w:t xml:space="preserve"> </w:t>
      </w:r>
    </w:p>
    <w:p w:rsidR="000730C5" w:rsidRPr="00824B9B" w:rsidRDefault="000730C5" w:rsidP="001B3109">
      <w:pPr>
        <w:ind w:firstLine="1276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Quanto os argumentos </w:t>
      </w:r>
      <w:r w:rsidR="001B3109" w:rsidRPr="00824B9B">
        <w:rPr>
          <w:rFonts w:ascii="Times New Roman" w:hAnsi="Times New Roman"/>
          <w:sz w:val="28"/>
          <w:szCs w:val="28"/>
        </w:rPr>
        <w:t>trazidos</w:t>
      </w:r>
      <w:r w:rsidRPr="00824B9B">
        <w:rPr>
          <w:rFonts w:ascii="Times New Roman" w:hAnsi="Times New Roman"/>
          <w:sz w:val="28"/>
          <w:szCs w:val="28"/>
        </w:rPr>
        <w:t xml:space="preserve"> pelo impugnado, tal não pode </w:t>
      </w:r>
      <w:r w:rsidR="001B3109" w:rsidRPr="00824B9B">
        <w:rPr>
          <w:rFonts w:ascii="Times New Roman" w:hAnsi="Times New Roman"/>
          <w:sz w:val="28"/>
          <w:szCs w:val="28"/>
        </w:rPr>
        <w:t>prosperar</w:t>
      </w:r>
      <w:r w:rsidRPr="00824B9B">
        <w:rPr>
          <w:rFonts w:ascii="Times New Roman" w:hAnsi="Times New Roman"/>
          <w:sz w:val="28"/>
          <w:szCs w:val="28"/>
        </w:rPr>
        <w:t xml:space="preserve">, </w:t>
      </w:r>
      <w:r w:rsidR="001B3109" w:rsidRPr="00824B9B">
        <w:rPr>
          <w:rFonts w:ascii="Times New Roman" w:hAnsi="Times New Roman"/>
          <w:sz w:val="28"/>
          <w:szCs w:val="28"/>
        </w:rPr>
        <w:t xml:space="preserve">tendo em vista que o artigo 31 da Lei Federal 8666/93, é </w:t>
      </w:r>
      <w:proofErr w:type="gramStart"/>
      <w:r w:rsidR="001B3109" w:rsidRPr="00824B9B">
        <w:rPr>
          <w:rFonts w:ascii="Times New Roman" w:hAnsi="Times New Roman"/>
          <w:sz w:val="28"/>
          <w:szCs w:val="28"/>
        </w:rPr>
        <w:t>expressa</w:t>
      </w:r>
      <w:proofErr w:type="gramEnd"/>
      <w:r w:rsidR="001B3109" w:rsidRPr="00824B9B">
        <w:rPr>
          <w:rFonts w:ascii="Times New Roman" w:hAnsi="Times New Roman"/>
          <w:sz w:val="28"/>
          <w:szCs w:val="28"/>
        </w:rPr>
        <w:t xml:space="preserve"> ao determinar a obrigatoriedade de demonstrações contábeis do último exercício social, vejamos:</w:t>
      </w:r>
    </w:p>
    <w:p w:rsidR="000730C5" w:rsidRPr="00824B9B" w:rsidRDefault="000730C5" w:rsidP="001B3109">
      <w:pPr>
        <w:ind w:left="1276"/>
        <w:jc w:val="both"/>
        <w:rPr>
          <w:rFonts w:ascii="Times New Roman" w:hAnsi="Times New Roman"/>
          <w:b/>
          <w:i/>
          <w:sz w:val="28"/>
          <w:szCs w:val="28"/>
        </w:rPr>
      </w:pPr>
      <w:r w:rsidRPr="00824B9B">
        <w:rPr>
          <w:rFonts w:ascii="Times New Roman" w:hAnsi="Times New Roman"/>
          <w:b/>
          <w:i/>
          <w:sz w:val="28"/>
          <w:szCs w:val="28"/>
        </w:rPr>
        <w:t>Art. 31.  A documentação relativa à qualificação econômico-financeira limitar-se-á a:</w:t>
      </w:r>
    </w:p>
    <w:p w:rsidR="000730C5" w:rsidRPr="00824B9B" w:rsidRDefault="000730C5" w:rsidP="001B3109">
      <w:pPr>
        <w:ind w:left="1276"/>
        <w:jc w:val="both"/>
        <w:rPr>
          <w:rFonts w:ascii="Times New Roman" w:hAnsi="Times New Roman"/>
          <w:b/>
          <w:i/>
          <w:sz w:val="28"/>
          <w:szCs w:val="28"/>
        </w:rPr>
      </w:pPr>
      <w:r w:rsidRPr="00824B9B">
        <w:rPr>
          <w:rFonts w:ascii="Times New Roman" w:hAnsi="Times New Roman"/>
          <w:b/>
          <w:i/>
          <w:sz w:val="28"/>
          <w:szCs w:val="28"/>
        </w:rPr>
        <w:t xml:space="preserve">I – balanço patrimonial e demonstrações contábeis do último exercício social, já exigíveis e apresentados na forma da lei, que comprovem a boa situação financeira da empresa, vedada a sua substituição por balancetes ou balanços provisórios, podendo ser atualizados por índices oficiais quando encerrado há mais de </w:t>
      </w:r>
      <w:proofErr w:type="gramStart"/>
      <w:r w:rsidRPr="00824B9B">
        <w:rPr>
          <w:rFonts w:ascii="Times New Roman" w:hAnsi="Times New Roman"/>
          <w:b/>
          <w:i/>
          <w:sz w:val="28"/>
          <w:szCs w:val="28"/>
        </w:rPr>
        <w:t>3</w:t>
      </w:r>
      <w:proofErr w:type="gramEnd"/>
      <w:r w:rsidRPr="00824B9B">
        <w:rPr>
          <w:rFonts w:ascii="Times New Roman" w:hAnsi="Times New Roman"/>
          <w:b/>
          <w:i/>
          <w:sz w:val="28"/>
          <w:szCs w:val="28"/>
        </w:rPr>
        <w:t xml:space="preserve"> (três) meses da data de apresentação da proposta;</w:t>
      </w:r>
    </w:p>
    <w:p w:rsidR="000730C5" w:rsidRPr="00824B9B" w:rsidRDefault="001B3109" w:rsidP="001B3109">
      <w:pPr>
        <w:ind w:firstLine="11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4B9B">
        <w:rPr>
          <w:rFonts w:ascii="Times New Roman" w:hAnsi="Times New Roman"/>
          <w:sz w:val="28"/>
          <w:szCs w:val="28"/>
        </w:rPr>
        <w:t>D</w:t>
      </w:r>
      <w:r w:rsidR="000730C5" w:rsidRPr="00824B9B">
        <w:rPr>
          <w:rFonts w:ascii="Times New Roman" w:hAnsi="Times New Roman"/>
          <w:sz w:val="28"/>
          <w:szCs w:val="28"/>
        </w:rPr>
        <w:t xml:space="preserve">o ponto de vista </w:t>
      </w:r>
      <w:r w:rsidRPr="00824B9B">
        <w:rPr>
          <w:rFonts w:ascii="Times New Roman" w:hAnsi="Times New Roman"/>
          <w:sz w:val="28"/>
          <w:szCs w:val="28"/>
        </w:rPr>
        <w:t>tributário as pequenas empresas,</w:t>
      </w:r>
      <w:proofErr w:type="gramStart"/>
      <w:r w:rsidRPr="00824B9B">
        <w:rPr>
          <w:rFonts w:ascii="Times New Roman" w:hAnsi="Times New Roman"/>
          <w:sz w:val="28"/>
          <w:szCs w:val="28"/>
        </w:rPr>
        <w:t xml:space="preserve"> </w:t>
      </w:r>
      <w:r w:rsidR="000730C5" w:rsidRPr="00824B9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730C5" w:rsidRPr="00824B9B">
        <w:rPr>
          <w:rFonts w:ascii="Times New Roman" w:hAnsi="Times New Roman"/>
          <w:sz w:val="28"/>
          <w:szCs w:val="28"/>
        </w:rPr>
        <w:t>tem a faculdade de elaborar o balanço patrimonial. Porém, do ponto de vista Administrativo, no que se referem às compras governamentais, as pequenas empresas </w:t>
      </w:r>
      <w:r w:rsidR="000730C5" w:rsidRPr="00824B9B">
        <w:rPr>
          <w:rFonts w:ascii="Times New Roman" w:hAnsi="Times New Roman"/>
          <w:b/>
          <w:sz w:val="28"/>
          <w:szCs w:val="28"/>
          <w:u w:val="single"/>
        </w:rPr>
        <w:t>deverão apresentar o balanço em cumprimento ao inciso I do artigo 31 da Lei 8666/93.</w:t>
      </w:r>
    </w:p>
    <w:p w:rsidR="000730C5" w:rsidRPr="00824B9B" w:rsidRDefault="001B3109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>A</w:t>
      </w:r>
      <w:r w:rsidR="000730C5" w:rsidRPr="00824B9B">
        <w:rPr>
          <w:rFonts w:ascii="Times New Roman" w:hAnsi="Times New Roman"/>
          <w:sz w:val="28"/>
          <w:szCs w:val="28"/>
        </w:rPr>
        <w:t xml:space="preserve"> Lei 9317/96 foi totalmente </w:t>
      </w:r>
      <w:proofErr w:type="gramStart"/>
      <w:r w:rsidR="000730C5" w:rsidRPr="00824B9B">
        <w:rPr>
          <w:rFonts w:ascii="Times New Roman" w:hAnsi="Times New Roman"/>
          <w:sz w:val="28"/>
          <w:szCs w:val="28"/>
        </w:rPr>
        <w:t>revogado</w:t>
      </w:r>
      <w:proofErr w:type="gramEnd"/>
      <w:r w:rsidR="000730C5" w:rsidRPr="00824B9B">
        <w:rPr>
          <w:rFonts w:ascii="Times New Roman" w:hAnsi="Times New Roman"/>
          <w:sz w:val="28"/>
          <w:szCs w:val="28"/>
        </w:rPr>
        <w:t xml:space="preserve"> pela Lei 123/2006. Assim, o intitulado Estatuto Nacional da Microempresa e da Empresa de Pequeno Porte não reproduziu o aludido na lei anterior. O referido diploma legal, em seu artigo 27, regrou da seguinte forma:</w:t>
      </w:r>
    </w:p>
    <w:p w:rsidR="000730C5" w:rsidRPr="00824B9B" w:rsidRDefault="000730C5" w:rsidP="001B3109">
      <w:pPr>
        <w:ind w:left="11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4B9B">
        <w:rPr>
          <w:rFonts w:ascii="Times New Roman" w:hAnsi="Times New Roman"/>
          <w:sz w:val="28"/>
          <w:szCs w:val="28"/>
        </w:rPr>
        <w:t xml:space="preserve">Art. 27.  As microempresas e empresas de pequeno porte optantes pelo Simples Nacional </w:t>
      </w:r>
      <w:r w:rsidRPr="00824B9B">
        <w:rPr>
          <w:rFonts w:ascii="Times New Roman" w:hAnsi="Times New Roman"/>
          <w:b/>
          <w:sz w:val="28"/>
          <w:szCs w:val="28"/>
          <w:u w:val="single"/>
        </w:rPr>
        <w:t xml:space="preserve">poderão, opcionalmente, adotar contabilidade simplificada para os registros e </w:t>
      </w:r>
      <w:r w:rsidRPr="00824B9B">
        <w:rPr>
          <w:rFonts w:ascii="Times New Roman" w:hAnsi="Times New Roman"/>
          <w:b/>
          <w:sz w:val="28"/>
          <w:szCs w:val="28"/>
          <w:u w:val="single"/>
        </w:rPr>
        <w:lastRenderedPageBreak/>
        <w:t>controles das operações realizadas, conforme regulamentação do Comitê Gestor.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A partir daí, gerou-se a dúvida sobre o que englobaria a </w:t>
      </w:r>
      <w:r w:rsidRPr="00824B9B">
        <w:rPr>
          <w:rFonts w:ascii="Times New Roman" w:hAnsi="Times New Roman"/>
          <w:b/>
          <w:i/>
          <w:sz w:val="28"/>
          <w:szCs w:val="28"/>
        </w:rPr>
        <w:t>“contabilidade simplificada”,</w:t>
      </w:r>
      <w:r w:rsidRPr="00824B9B">
        <w:rPr>
          <w:rFonts w:ascii="Times New Roman" w:hAnsi="Times New Roman"/>
          <w:sz w:val="28"/>
          <w:szCs w:val="28"/>
        </w:rPr>
        <w:t xml:space="preserve"> que veio a ser </w:t>
      </w:r>
      <w:proofErr w:type="gramStart"/>
      <w:r w:rsidRPr="00824B9B">
        <w:rPr>
          <w:rFonts w:ascii="Times New Roman" w:hAnsi="Times New Roman"/>
          <w:sz w:val="28"/>
          <w:szCs w:val="28"/>
        </w:rPr>
        <w:t>sanada</w:t>
      </w:r>
      <w:proofErr w:type="gramEnd"/>
      <w:r w:rsidRPr="00824B9B">
        <w:rPr>
          <w:rFonts w:ascii="Times New Roman" w:hAnsi="Times New Roman"/>
          <w:sz w:val="28"/>
          <w:szCs w:val="28"/>
        </w:rPr>
        <w:t xml:space="preserve"> pela Resolução Nº 1.115/07, que aprovou a NBC T 19.13 – Escrituração Contábil Simplificada para Microempresa e Empresa de Pequeno Porte.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O item </w:t>
      </w:r>
      <w:proofErr w:type="gramStart"/>
      <w:r w:rsidRPr="00824B9B">
        <w:rPr>
          <w:rFonts w:ascii="Times New Roman" w:hAnsi="Times New Roman"/>
          <w:sz w:val="28"/>
          <w:szCs w:val="28"/>
        </w:rPr>
        <w:t>7</w:t>
      </w:r>
      <w:proofErr w:type="gramEnd"/>
      <w:r w:rsidRPr="00824B9B">
        <w:rPr>
          <w:rFonts w:ascii="Times New Roman" w:hAnsi="Times New Roman"/>
          <w:sz w:val="28"/>
          <w:szCs w:val="28"/>
        </w:rPr>
        <w:t xml:space="preserve"> da referida norma disciplina que: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>A microempresa e a empresa de pequeno porte devem elaborar, ao final de cada exercício social, o Balanço Patrimonial e a Demonstração do Resultado, em conformidade com o estabelecido na NBC T 3.1, NBC T 3.2 e NBC T 3.3.</w:t>
      </w:r>
    </w:p>
    <w:p w:rsidR="000730C5" w:rsidRPr="00824B9B" w:rsidRDefault="000730C5" w:rsidP="001B3109">
      <w:pPr>
        <w:ind w:firstLine="113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24B9B">
        <w:rPr>
          <w:rFonts w:ascii="Times New Roman" w:hAnsi="Times New Roman"/>
          <w:sz w:val="28"/>
          <w:szCs w:val="28"/>
        </w:rPr>
        <w:t xml:space="preserve">Destarte, diante do exposto acima, concluímos que </w:t>
      </w:r>
      <w:r w:rsidRPr="00824B9B">
        <w:rPr>
          <w:rFonts w:ascii="Times New Roman" w:hAnsi="Times New Roman"/>
          <w:b/>
          <w:i/>
          <w:sz w:val="28"/>
          <w:szCs w:val="28"/>
          <w:u w:val="single"/>
        </w:rPr>
        <w:t xml:space="preserve">não há dispositivo legal que dispense </w:t>
      </w:r>
      <w:proofErr w:type="gramStart"/>
      <w:r w:rsidRPr="00824B9B">
        <w:rPr>
          <w:rFonts w:ascii="Times New Roman" w:hAnsi="Times New Roman"/>
          <w:b/>
          <w:i/>
          <w:sz w:val="28"/>
          <w:szCs w:val="28"/>
          <w:u w:val="single"/>
        </w:rPr>
        <w:t>as pequenas empresa</w:t>
      </w:r>
      <w:proofErr w:type="gramEnd"/>
      <w:r w:rsidRPr="00824B9B">
        <w:rPr>
          <w:rFonts w:ascii="Times New Roman" w:hAnsi="Times New Roman"/>
          <w:b/>
          <w:i/>
          <w:sz w:val="28"/>
          <w:szCs w:val="28"/>
          <w:u w:val="single"/>
        </w:rPr>
        <w:t xml:space="preserve"> da apresentação do balanço patrimonial.</w:t>
      </w:r>
    </w:p>
    <w:p w:rsidR="001B3109" w:rsidRPr="00824B9B" w:rsidRDefault="001B3109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F5FCB" w:rsidRPr="00824B9B" w:rsidRDefault="008F5FCB" w:rsidP="001B3109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24B9B">
        <w:rPr>
          <w:rFonts w:ascii="Times New Roman" w:hAnsi="Times New Roman"/>
          <w:sz w:val="28"/>
          <w:szCs w:val="28"/>
        </w:rPr>
        <w:t xml:space="preserve">Em conformidade com o </w:t>
      </w:r>
      <w:proofErr w:type="spellStart"/>
      <w:r w:rsidRPr="00824B9B">
        <w:rPr>
          <w:rFonts w:ascii="Times New Roman" w:hAnsi="Times New Roman"/>
          <w:sz w:val="28"/>
          <w:szCs w:val="28"/>
        </w:rPr>
        <w:t>Art</w:t>
      </w:r>
      <w:proofErr w:type="spellEnd"/>
      <w:r w:rsidRPr="00824B9B">
        <w:rPr>
          <w:rFonts w:ascii="Times New Roman" w:hAnsi="Times New Roman"/>
          <w:sz w:val="28"/>
          <w:szCs w:val="28"/>
        </w:rPr>
        <w:t xml:space="preserve"> 31, inciso I da</w:t>
      </w:r>
      <w:r w:rsidRPr="00824B9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history="1">
        <w:r w:rsidRPr="00824B9B">
          <w:rPr>
            <w:rStyle w:val="Hyperlink"/>
            <w:rFonts w:ascii="Times New Roman" w:hAnsi="Times New Roman"/>
            <w:color w:val="auto"/>
            <w:sz w:val="28"/>
            <w:szCs w:val="28"/>
          </w:rPr>
          <w:t>Lei 8.666/93</w:t>
        </w:r>
      </w:hyperlink>
      <w:r w:rsidRPr="00824B9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24B9B">
        <w:rPr>
          <w:rFonts w:ascii="Times New Roman" w:hAnsi="Times New Roman"/>
          <w:sz w:val="28"/>
          <w:szCs w:val="28"/>
        </w:rPr>
        <w:t xml:space="preserve">a administração pública deverá, quando da qualificação </w:t>
      </w:r>
      <w:proofErr w:type="gramStart"/>
      <w:r w:rsidRPr="00824B9B">
        <w:rPr>
          <w:rFonts w:ascii="Times New Roman" w:hAnsi="Times New Roman"/>
          <w:sz w:val="28"/>
          <w:szCs w:val="28"/>
        </w:rPr>
        <w:t>econômico financeira</w:t>
      </w:r>
      <w:proofErr w:type="gramEnd"/>
      <w:r w:rsidRPr="00824B9B">
        <w:rPr>
          <w:rFonts w:ascii="Times New Roman" w:hAnsi="Times New Roman"/>
          <w:sz w:val="28"/>
          <w:szCs w:val="28"/>
        </w:rPr>
        <w:t>, verificar o balanço patrimonial e as demonstrações contábeis do último exercício social, já exigíveis e apresentados na forma da lei, que comprovem a boa situação financeira da empresa.</w:t>
      </w:r>
    </w:p>
    <w:p w:rsidR="008F5FCB" w:rsidRPr="00824B9B" w:rsidRDefault="008F5FCB" w:rsidP="001B3109">
      <w:pPr>
        <w:pStyle w:val="NormalWeb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Assim, vale salientar que Balanço Patrimonial é a demonstração contábil destinada a evidenciar, qualitativa e quantitativamente, numa determinada data, a posição patrimonial e financeira da entidade. O principal objetivo deste demonstrativo é apresentar de forma organizada e ordenada os registros que afetaram o patrimônio da empresa, de modo a facilitar o conhecimento e a análise da real situação financeira desta.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276"/>
        <w:jc w:val="both"/>
        <w:rPr>
          <w:sz w:val="28"/>
          <w:szCs w:val="28"/>
        </w:rPr>
      </w:pPr>
      <w:r w:rsidRPr="00824B9B">
        <w:rPr>
          <w:rStyle w:val="Forte"/>
          <w:sz w:val="28"/>
          <w:szCs w:val="28"/>
        </w:rPr>
        <w:t>A Lei nº</w:t>
      </w:r>
      <w:r w:rsidRPr="00824B9B">
        <w:rPr>
          <w:rStyle w:val="apple-converted-space"/>
          <w:b/>
          <w:bCs/>
          <w:sz w:val="28"/>
          <w:szCs w:val="28"/>
        </w:rPr>
        <w:t> </w:t>
      </w:r>
      <w:r w:rsidRPr="00824B9B">
        <w:rPr>
          <w:sz w:val="28"/>
          <w:szCs w:val="28"/>
        </w:rPr>
        <w:t>9.317/96, por sua vez, previa a dispensa da escrituração comercial para micro e pequenas empresas, nos seguintes termos:</w:t>
      </w:r>
    </w:p>
    <w:p w:rsidR="00263BA1" w:rsidRPr="00824B9B" w:rsidRDefault="00263BA1" w:rsidP="00263BA1">
      <w:pPr>
        <w:pStyle w:val="NormalWeb"/>
        <w:spacing w:before="0" w:beforeAutospacing="0" w:after="135" w:afterAutospacing="0" w:line="270" w:lineRule="atLeast"/>
        <w:ind w:firstLine="1276"/>
        <w:jc w:val="both"/>
        <w:rPr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0" w:afterAutospacing="0"/>
        <w:ind w:left="1276"/>
        <w:jc w:val="both"/>
        <w:rPr>
          <w:b/>
          <w:i/>
          <w:sz w:val="28"/>
          <w:szCs w:val="28"/>
        </w:rPr>
      </w:pPr>
      <w:proofErr w:type="gramStart"/>
      <w:r w:rsidRPr="00824B9B">
        <w:rPr>
          <w:b/>
          <w:i/>
          <w:sz w:val="28"/>
          <w:szCs w:val="28"/>
        </w:rPr>
        <w:t>“Art.</w:t>
      </w:r>
      <w:proofErr w:type="gramEnd"/>
      <w:r w:rsidRPr="00824B9B">
        <w:rPr>
          <w:b/>
          <w:i/>
          <w:sz w:val="28"/>
          <w:szCs w:val="28"/>
        </w:rPr>
        <w:t xml:space="preserve"> 7º A microempresa e a empresa de pequeno porte, inscritas no SIMPLES apresentarão, anualmente, declaração </w:t>
      </w:r>
      <w:r w:rsidRPr="00824B9B">
        <w:rPr>
          <w:b/>
          <w:i/>
          <w:sz w:val="28"/>
          <w:szCs w:val="28"/>
        </w:rPr>
        <w:lastRenderedPageBreak/>
        <w:t>simplificada que será entregue até o último dia útil do mês d</w:t>
      </w:r>
      <w:r w:rsidR="00263BA1" w:rsidRPr="00824B9B">
        <w:rPr>
          <w:b/>
          <w:i/>
          <w:sz w:val="28"/>
          <w:szCs w:val="28"/>
        </w:rPr>
        <w:t>e maio do ano-calendário subsequ</w:t>
      </w:r>
      <w:r w:rsidRPr="00824B9B">
        <w:rPr>
          <w:b/>
          <w:i/>
          <w:sz w:val="28"/>
          <w:szCs w:val="28"/>
        </w:rPr>
        <w:t xml:space="preserve">ente ao da ocorrência dos fatos geradores dos impostos e contribuições de que tratam os </w:t>
      </w:r>
      <w:proofErr w:type="spellStart"/>
      <w:r w:rsidRPr="00824B9B">
        <w:rPr>
          <w:b/>
          <w:i/>
          <w:sz w:val="28"/>
          <w:szCs w:val="28"/>
        </w:rPr>
        <w:t>arts</w:t>
      </w:r>
      <w:proofErr w:type="spellEnd"/>
      <w:r w:rsidRPr="00824B9B">
        <w:rPr>
          <w:b/>
          <w:i/>
          <w:sz w:val="28"/>
          <w:szCs w:val="28"/>
        </w:rPr>
        <w:t>. 3º e 4º.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276"/>
        <w:jc w:val="both"/>
        <w:rPr>
          <w:b/>
          <w:i/>
          <w:sz w:val="28"/>
          <w:szCs w:val="28"/>
          <w:u w:val="single"/>
        </w:rPr>
      </w:pPr>
      <w:r w:rsidRPr="00824B9B">
        <w:rPr>
          <w:b/>
          <w:i/>
          <w:sz w:val="28"/>
          <w:szCs w:val="28"/>
        </w:rPr>
        <w:t xml:space="preserve">§ 1º A microempresa e a empresa de pequeno porte </w:t>
      </w:r>
      <w:r w:rsidRPr="00824B9B">
        <w:rPr>
          <w:b/>
          <w:i/>
          <w:sz w:val="28"/>
          <w:szCs w:val="28"/>
          <w:u w:val="single"/>
        </w:rPr>
        <w:t>ficam dispensadas de escrituração comercial desde que mantenham, em boa ordem e guarda e enquanto não decorrido o prazo decadencial e não prescritas eventuais ações que lhes sejam pertinentes: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276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>a) Livro Caixa, no qual deverá estar escriturada toda a sua movimentação financeira, inclusive bancária;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276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>b) Livro de Registro de Inventário, no qual deverão constar registrados os estoques existentes no término de cada ano-calendário;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276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 xml:space="preserve">c) </w:t>
      </w:r>
      <w:proofErr w:type="gramStart"/>
      <w:r w:rsidRPr="00824B9B">
        <w:rPr>
          <w:b/>
          <w:i/>
          <w:sz w:val="28"/>
          <w:szCs w:val="28"/>
        </w:rPr>
        <w:t>todos os documentos e demais papéis que serviram de base para a escrituração dos livros referidos nas alíneas anteriores”</w:t>
      </w:r>
      <w:proofErr w:type="gramEnd"/>
      <w:r w:rsidRPr="00824B9B">
        <w:rPr>
          <w:b/>
          <w:i/>
          <w:sz w:val="28"/>
          <w:szCs w:val="28"/>
        </w:rPr>
        <w:t>.</w:t>
      </w:r>
    </w:p>
    <w:p w:rsidR="00263BA1" w:rsidRPr="00824B9B" w:rsidRDefault="00263BA1" w:rsidP="00263BA1">
      <w:pPr>
        <w:pStyle w:val="NormalWeb"/>
        <w:spacing w:before="0" w:beforeAutospacing="0" w:after="135" w:afterAutospacing="0" w:line="270" w:lineRule="atLeast"/>
        <w:ind w:left="1276"/>
        <w:jc w:val="both"/>
        <w:rPr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276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Ocorre que, a Lei nº 9.317/96 foi expressa e totalmente</w:t>
      </w:r>
      <w:r w:rsidR="00263BA1" w:rsidRPr="00824B9B">
        <w:rPr>
          <w:sz w:val="28"/>
          <w:szCs w:val="28"/>
        </w:rPr>
        <w:t xml:space="preserve"> </w:t>
      </w:r>
      <w:r w:rsidRPr="00824B9B">
        <w:rPr>
          <w:sz w:val="28"/>
          <w:szCs w:val="28"/>
        </w:rPr>
        <w:t>revogada pela Lei Complementar nº 123/2006, a qual não reproduziu o dispositivo acima citado. O novo diploma legal, em relação à contabilidade das micro e pequenas empresas, reza em seu art. 27: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>“Art. 27.  As microempresas e empresas de pequeno porte optantes pelo Simples Nacional poderão, opcionalmente, adotar</w:t>
      </w:r>
      <w:r w:rsidRPr="00824B9B">
        <w:rPr>
          <w:rStyle w:val="apple-converted-space"/>
          <w:b/>
          <w:i/>
          <w:sz w:val="28"/>
          <w:szCs w:val="28"/>
        </w:rPr>
        <w:t> </w:t>
      </w:r>
      <w:r w:rsidRPr="00824B9B">
        <w:rPr>
          <w:b/>
          <w:i/>
          <w:sz w:val="28"/>
          <w:szCs w:val="28"/>
          <w:u w:val="single"/>
        </w:rPr>
        <w:t>contabilidade simplificada</w:t>
      </w:r>
      <w:r w:rsidRPr="00824B9B">
        <w:rPr>
          <w:rStyle w:val="apple-converted-space"/>
          <w:b/>
          <w:i/>
          <w:sz w:val="28"/>
          <w:szCs w:val="28"/>
        </w:rPr>
        <w:t> </w:t>
      </w:r>
      <w:r w:rsidRPr="00824B9B">
        <w:rPr>
          <w:b/>
          <w:i/>
          <w:sz w:val="28"/>
          <w:szCs w:val="28"/>
        </w:rPr>
        <w:t>para os registros e controles das operações realizadas, conforme regulamentação do Comitê Gestor”. (</w:t>
      </w:r>
      <w:r w:rsidR="00263BA1" w:rsidRPr="00824B9B">
        <w:rPr>
          <w:b/>
          <w:i/>
          <w:sz w:val="28"/>
          <w:szCs w:val="28"/>
        </w:rPr>
        <w:t>grifei</w:t>
      </w:r>
      <w:r w:rsidRPr="00824B9B">
        <w:rPr>
          <w:b/>
          <w:i/>
          <w:sz w:val="28"/>
          <w:szCs w:val="28"/>
        </w:rPr>
        <w:t>)</w:t>
      </w:r>
    </w:p>
    <w:p w:rsidR="008F5FCB" w:rsidRPr="00824B9B" w:rsidRDefault="008F5FCB" w:rsidP="00263BA1">
      <w:pPr>
        <w:pStyle w:val="NormalWeb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A princípio, o Conselho Federal de Contabilidade</w:t>
      </w:r>
      <w:r w:rsidR="00263BA1" w:rsidRPr="00824B9B">
        <w:rPr>
          <w:sz w:val="28"/>
          <w:szCs w:val="28"/>
        </w:rPr>
        <w:t xml:space="preserve"> </w:t>
      </w:r>
      <w:r w:rsidRPr="00824B9B">
        <w:rPr>
          <w:sz w:val="28"/>
          <w:szCs w:val="28"/>
        </w:rPr>
        <w:t xml:space="preserve">regulamentou a contabilidade simplificada pela Resolução nº 1.115/07, que aprovou a NBC T 19.13 – Escrituração Contábil Simplificada para Microempresa e Empresa de Pequeno Porte, a qual disciplinava em seu item </w:t>
      </w:r>
      <w:proofErr w:type="gramStart"/>
      <w:r w:rsidRPr="00824B9B">
        <w:rPr>
          <w:sz w:val="28"/>
          <w:szCs w:val="28"/>
        </w:rPr>
        <w:t>7</w:t>
      </w:r>
      <w:proofErr w:type="gramEnd"/>
      <w:r w:rsidRPr="00824B9B">
        <w:rPr>
          <w:sz w:val="28"/>
          <w:szCs w:val="28"/>
        </w:rPr>
        <w:t>: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>“</w:t>
      </w:r>
      <w:proofErr w:type="gramStart"/>
      <w:r w:rsidRPr="00824B9B">
        <w:rPr>
          <w:b/>
          <w:i/>
          <w:sz w:val="28"/>
          <w:szCs w:val="28"/>
        </w:rPr>
        <w:t>7</w:t>
      </w:r>
      <w:proofErr w:type="gramEnd"/>
      <w:r w:rsidRPr="00824B9B">
        <w:rPr>
          <w:b/>
          <w:i/>
          <w:sz w:val="28"/>
          <w:szCs w:val="28"/>
        </w:rPr>
        <w:t xml:space="preserve"> A microempresa e a empresa de pequeno porte devem elaborar, ao final de cada exercício social, o Balanço Patrimonial e a Demonstração do Resultado, em conformidade com o estabelecido na NBC T 3.1, NBC T 3.2 e NBC T 3.3”.</w:t>
      </w:r>
    </w:p>
    <w:p w:rsidR="00263BA1" w:rsidRPr="00824B9B" w:rsidRDefault="00263BA1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276"/>
        <w:jc w:val="both"/>
        <w:rPr>
          <w:sz w:val="28"/>
          <w:szCs w:val="28"/>
        </w:rPr>
      </w:pPr>
      <w:r w:rsidRPr="00824B9B">
        <w:rPr>
          <w:sz w:val="28"/>
          <w:szCs w:val="28"/>
        </w:rPr>
        <w:lastRenderedPageBreak/>
        <w:t>No entanto, essa Resolução foi expressamente revogada pela Resolução nº 1330/2011. Para as microempresas e empresas de pequeno porte foi editada a Resolução nº 1.418/2012, que aprovou o ITG 1000 – Modelo contábil para Microempresas e Empresa de Pequeno Porte, a qual dispõe:</w:t>
      </w:r>
    </w:p>
    <w:p w:rsidR="008F5FCB" w:rsidRPr="00824B9B" w:rsidRDefault="00263BA1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t>“26.</w:t>
      </w:r>
      <w:r w:rsidR="008F5FCB" w:rsidRPr="00824B9B">
        <w:rPr>
          <w:b/>
          <w:i/>
          <w:sz w:val="28"/>
          <w:szCs w:val="28"/>
        </w:rPr>
        <w:t xml:space="preserve"> A entidade deve elaborar o Balanço Patrimonial, a Demonstração do Resultado e as Notas Explicativas </w:t>
      </w:r>
      <w:r w:rsidR="008F5FCB" w:rsidRPr="00824B9B">
        <w:rPr>
          <w:b/>
          <w:i/>
          <w:sz w:val="28"/>
          <w:szCs w:val="28"/>
          <w:u w:val="single"/>
        </w:rPr>
        <w:t>ao final de cada exercício social</w:t>
      </w:r>
      <w:r w:rsidR="008F5FCB" w:rsidRPr="00824B9B">
        <w:rPr>
          <w:b/>
          <w:i/>
          <w:sz w:val="28"/>
          <w:szCs w:val="28"/>
        </w:rPr>
        <w:t>. Quando houver necessidade, a entidade deve elaborá-los em períodos intermediários”. </w:t>
      </w:r>
    </w:p>
    <w:p w:rsidR="00263BA1" w:rsidRPr="00824B9B" w:rsidRDefault="00263BA1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418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A Lei de Licitações, por sua vez, ao tratar da habilitação de empresas participantes de certames licitatórios</w:t>
      </w:r>
      <w:r w:rsidR="00263BA1" w:rsidRPr="00824B9B">
        <w:rPr>
          <w:sz w:val="28"/>
          <w:szCs w:val="28"/>
        </w:rPr>
        <w:t xml:space="preserve"> </w:t>
      </w:r>
      <w:r w:rsidRPr="00824B9B">
        <w:rPr>
          <w:sz w:val="28"/>
          <w:szCs w:val="28"/>
        </w:rPr>
        <w:t xml:space="preserve">prevê que para fins de qualificação econômico-financeira </w:t>
      </w:r>
      <w:r w:rsidRPr="00824B9B">
        <w:rPr>
          <w:b/>
          <w:i/>
          <w:sz w:val="28"/>
          <w:szCs w:val="28"/>
        </w:rPr>
        <w:t>a Administração poderá exigir balanço patrimonial e demonstrações contábeis do último exercício social</w:t>
      </w:r>
      <w:r w:rsidRPr="00824B9B">
        <w:rPr>
          <w:sz w:val="28"/>
          <w:szCs w:val="28"/>
        </w:rPr>
        <w:t>, já exigíveis e apresentados na forma da lei, que comprovem a boa situação financeira da empresa (art. 31, inc. I da Lei nº 8.666/93).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Se observarmos, portanto, esse os dispositivos legais em vigor concluímos que não há dispensadas pequenas empresas da apresentação do balanço patrimonial, salvo o previsto no art. 3º do Decreto federal</w:t>
      </w:r>
      <w:r w:rsidR="00263BA1" w:rsidRPr="00824B9B">
        <w:rPr>
          <w:sz w:val="28"/>
          <w:szCs w:val="28"/>
        </w:rPr>
        <w:t xml:space="preserve"> </w:t>
      </w:r>
      <w:r w:rsidRPr="00824B9B">
        <w:rPr>
          <w:sz w:val="28"/>
          <w:szCs w:val="28"/>
        </w:rPr>
        <w:t xml:space="preserve">nº 6.204/2007 que prevê que, em âmbito federal, “na habilitação em licitações </w:t>
      </w:r>
      <w:r w:rsidRPr="00824B9B">
        <w:rPr>
          <w:b/>
          <w:i/>
          <w:sz w:val="28"/>
          <w:szCs w:val="28"/>
        </w:rPr>
        <w:t>para o fornecimento de bens para pronta entrega ou para a locação de materiais,</w:t>
      </w:r>
      <w:r w:rsidRPr="00824B9B">
        <w:rPr>
          <w:sz w:val="28"/>
          <w:szCs w:val="28"/>
        </w:rPr>
        <w:t xml:space="preserve"> não será exigido da microempresa ou da empresa de pequeno porte a apresentação de balanço patrimonial do último exercício social”.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Ademais, a Resolução nº 1.418/2012, do Conselho Federal de Contabilidade prevê expressamente que a microempresa e a empresa de pequeno porte que optarem pela adoção da escrituração prevista nessa Resolução deverá avaliar as exigências requeridas de outras legis</w:t>
      </w:r>
      <w:r w:rsidR="00263BA1" w:rsidRPr="00824B9B">
        <w:rPr>
          <w:sz w:val="28"/>
          <w:szCs w:val="28"/>
        </w:rPr>
        <w:t>lações que lhe sejam aplicáveis.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 xml:space="preserve">Alguns doutrinadores entendem pela possibilidade de dispensa do balanço orçamentários para a participação em licitações, tendo em vista a necessidade de manutenção de toda a escrituração contábil ser financeiramente onerosa para </w:t>
      </w:r>
      <w:proofErr w:type="gramStart"/>
      <w:r w:rsidRPr="00824B9B">
        <w:rPr>
          <w:sz w:val="28"/>
          <w:szCs w:val="28"/>
        </w:rPr>
        <w:t>as micro</w:t>
      </w:r>
      <w:proofErr w:type="gramEnd"/>
      <w:r w:rsidRPr="00824B9B">
        <w:rPr>
          <w:sz w:val="28"/>
          <w:szCs w:val="28"/>
        </w:rPr>
        <w:t xml:space="preserve"> e pequenas empresas.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 xml:space="preserve"> No entanto, pedimos </w:t>
      </w:r>
      <w:proofErr w:type="spellStart"/>
      <w:r w:rsidRPr="00824B9B">
        <w:rPr>
          <w:sz w:val="28"/>
          <w:szCs w:val="28"/>
        </w:rPr>
        <w:t>venia</w:t>
      </w:r>
      <w:proofErr w:type="spellEnd"/>
      <w:r w:rsidRPr="00824B9B">
        <w:rPr>
          <w:sz w:val="28"/>
          <w:szCs w:val="28"/>
        </w:rPr>
        <w:t xml:space="preserve"> para transcrever dois posicionamentos de renomados administrativistas que defende </w:t>
      </w:r>
      <w:proofErr w:type="gramStart"/>
      <w:r w:rsidRPr="00824B9B">
        <w:rPr>
          <w:sz w:val="28"/>
          <w:szCs w:val="28"/>
        </w:rPr>
        <w:t>as micro</w:t>
      </w:r>
      <w:proofErr w:type="gramEnd"/>
      <w:r w:rsidRPr="00824B9B">
        <w:rPr>
          <w:sz w:val="28"/>
          <w:szCs w:val="28"/>
        </w:rPr>
        <w:t xml:space="preserve"> e pequenas empresas estariam liberadas da apresentação de balanço para fins fiscais, e não para efeito de participação em licitações. </w:t>
      </w: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Nesse sentido leciona Sidney Bittencourt leciona: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  <w:r w:rsidRPr="00824B9B">
        <w:rPr>
          <w:b/>
          <w:i/>
          <w:sz w:val="28"/>
          <w:szCs w:val="28"/>
        </w:rPr>
        <w:lastRenderedPageBreak/>
        <w:t xml:space="preserve">“Situação sui generis ocorre no caso de microempresa, principalmente em função do tratamento diferenciado a ela conferido pelo art. 175 da Constituição Federal, </w:t>
      </w:r>
      <w:proofErr w:type="spellStart"/>
      <w:r w:rsidRPr="00824B9B">
        <w:rPr>
          <w:b/>
          <w:i/>
          <w:sz w:val="28"/>
          <w:szCs w:val="28"/>
        </w:rPr>
        <w:t>vigindo</w:t>
      </w:r>
      <w:proofErr w:type="spellEnd"/>
      <w:r w:rsidRPr="00824B9B">
        <w:rPr>
          <w:b/>
          <w:i/>
          <w:sz w:val="28"/>
          <w:szCs w:val="28"/>
        </w:rPr>
        <w:t xml:space="preserve">, para essa, o Estatuto das Microempresas, que afasta a necessidade de possuírem demonstrações contábeis, </w:t>
      </w:r>
      <w:r w:rsidRPr="00824B9B">
        <w:rPr>
          <w:b/>
          <w:i/>
          <w:sz w:val="28"/>
          <w:szCs w:val="28"/>
          <w:u w:val="single"/>
        </w:rPr>
        <w:t>o que não impede que o edital exija essas demonstrações referentes ao último exercício social, de modo a permitir uma avaliação das condições financeiras para arcar com o compromisso.</w:t>
      </w:r>
      <w:r w:rsidRPr="00824B9B">
        <w:rPr>
          <w:b/>
          <w:i/>
          <w:sz w:val="28"/>
          <w:szCs w:val="28"/>
        </w:rPr>
        <w:t xml:space="preserve"> De outra forma, entendendo a Administração licitadora que o objeto é simples e facilmente executável, poderá não exigir a demonstração no edital”. (</w:t>
      </w:r>
      <w:r w:rsidRPr="00824B9B">
        <w:rPr>
          <w:b/>
          <w:i/>
          <w:sz w:val="28"/>
          <w:szCs w:val="28"/>
          <w:u w:val="single"/>
        </w:rPr>
        <w:t>in</w:t>
      </w:r>
      <w:r w:rsidRPr="00824B9B">
        <w:rPr>
          <w:rStyle w:val="apple-converted-space"/>
          <w:b/>
          <w:i/>
          <w:sz w:val="28"/>
          <w:szCs w:val="28"/>
        </w:rPr>
        <w:t> </w:t>
      </w:r>
      <w:r w:rsidRPr="00824B9B">
        <w:rPr>
          <w:b/>
          <w:i/>
          <w:sz w:val="28"/>
          <w:szCs w:val="28"/>
        </w:rPr>
        <w:t>Licitação passo a passo. 4ª ed. atualizada e ampliada. Rio de Janeiro: Temas &amp;</w:t>
      </w:r>
      <w:proofErr w:type="spellStart"/>
      <w:r w:rsidRPr="00824B9B">
        <w:rPr>
          <w:b/>
          <w:i/>
          <w:sz w:val="28"/>
          <w:szCs w:val="28"/>
        </w:rPr>
        <w:t>idéias</w:t>
      </w:r>
      <w:proofErr w:type="spellEnd"/>
      <w:r w:rsidRPr="00824B9B">
        <w:rPr>
          <w:b/>
          <w:i/>
          <w:sz w:val="28"/>
          <w:szCs w:val="28"/>
        </w:rPr>
        <w:t xml:space="preserve"> Editora, 2002, p. 158)</w:t>
      </w:r>
      <w:r w:rsidR="00263BA1" w:rsidRPr="00824B9B">
        <w:rPr>
          <w:b/>
          <w:i/>
          <w:sz w:val="28"/>
          <w:szCs w:val="28"/>
        </w:rPr>
        <w:t>(grifei</w:t>
      </w:r>
      <w:proofErr w:type="gramStart"/>
      <w:r w:rsidR="00263BA1" w:rsidRPr="00824B9B">
        <w:rPr>
          <w:b/>
          <w:i/>
          <w:sz w:val="28"/>
          <w:szCs w:val="28"/>
        </w:rPr>
        <w:t>)</w:t>
      </w:r>
      <w:proofErr w:type="gramEnd"/>
    </w:p>
    <w:p w:rsidR="00263BA1" w:rsidRPr="00824B9B" w:rsidRDefault="00263BA1" w:rsidP="00263BA1">
      <w:pPr>
        <w:pStyle w:val="NormalWeb"/>
        <w:spacing w:before="0" w:beforeAutospacing="0" w:after="0" w:afterAutospacing="0"/>
        <w:ind w:left="1134"/>
        <w:jc w:val="both"/>
        <w:rPr>
          <w:b/>
          <w:i/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 xml:space="preserve">Corrobora esse entendimento, </w:t>
      </w:r>
      <w:proofErr w:type="gramStart"/>
      <w:r w:rsidRPr="00824B9B">
        <w:rPr>
          <w:sz w:val="28"/>
          <w:szCs w:val="28"/>
        </w:rPr>
        <w:t>as lições do saudoso mestre Carlos Pinto Coelho Motta versou</w:t>
      </w:r>
      <w:proofErr w:type="gramEnd"/>
      <w:r w:rsidRPr="00824B9B">
        <w:rPr>
          <w:sz w:val="28"/>
          <w:szCs w:val="28"/>
        </w:rPr>
        <w:t>:</w:t>
      </w:r>
    </w:p>
    <w:p w:rsidR="008F5FCB" w:rsidRPr="00824B9B" w:rsidRDefault="008F5FCB" w:rsidP="00263BA1">
      <w:pPr>
        <w:pStyle w:val="NormalWeb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824B9B">
        <w:rPr>
          <w:b/>
          <w:i/>
          <w:sz w:val="28"/>
          <w:szCs w:val="28"/>
        </w:rPr>
        <w:t>“As microempresas e empresas de pequeno porte devem, igualmente, elaborar o balanço patrimonial, considerando que, nesse aspecto, a LNL não foi derrogada pela LC 123/06”. (in Eficácia nas Licitações e Contratos. 11ª ed. rev. E atual. Belo Horizonte: Del Rey, 2008, 389).</w:t>
      </w:r>
    </w:p>
    <w:p w:rsidR="00263BA1" w:rsidRPr="00824B9B" w:rsidRDefault="00263BA1" w:rsidP="001B3109">
      <w:pPr>
        <w:pStyle w:val="NormalWeb"/>
        <w:spacing w:before="0" w:beforeAutospacing="0" w:after="135" w:afterAutospacing="0" w:line="270" w:lineRule="atLeast"/>
        <w:jc w:val="both"/>
        <w:rPr>
          <w:sz w:val="28"/>
          <w:szCs w:val="28"/>
        </w:rPr>
      </w:pPr>
    </w:p>
    <w:p w:rsidR="008F5FCB" w:rsidRPr="00824B9B" w:rsidRDefault="008F5FCB" w:rsidP="00263BA1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 xml:space="preserve">Analisando diversos editais, percebe-se que a adoção dos posicionamentos acima expostos tem sido faculdade dos órgãos, devendo o licitante verificar o que prevê o ato convocatório, </w:t>
      </w:r>
      <w:proofErr w:type="gramStart"/>
      <w:r w:rsidRPr="00824B9B">
        <w:rPr>
          <w:sz w:val="28"/>
          <w:szCs w:val="28"/>
        </w:rPr>
        <w:t>sob pena</w:t>
      </w:r>
      <w:proofErr w:type="gramEnd"/>
      <w:r w:rsidRPr="00824B9B">
        <w:rPr>
          <w:sz w:val="28"/>
          <w:szCs w:val="28"/>
        </w:rPr>
        <w:t xml:space="preserve"> de inabilitação.</w:t>
      </w:r>
    </w:p>
    <w:p w:rsidR="008F5FCB" w:rsidRPr="00824B9B" w:rsidRDefault="008F5FCB" w:rsidP="00535B72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  </w:t>
      </w:r>
      <w:r w:rsidRPr="00824B9B">
        <w:rPr>
          <w:sz w:val="28"/>
          <w:szCs w:val="28"/>
        </w:rPr>
        <w:t>Insta relatar ainda que, a nosso ver, tal exigência não fere o tratamento favorecido e diferenciado dispensado às estas empresas, mas tão somente garante à administração poder averiguar as condições daqueles que pretendem fornecer para a mesma e zelar pelo interesse público.</w:t>
      </w:r>
    </w:p>
    <w:p w:rsidR="008F5FCB" w:rsidRPr="00824B9B" w:rsidRDefault="008F5FCB" w:rsidP="001B3109">
      <w:pPr>
        <w:pStyle w:val="NormalWeb"/>
        <w:spacing w:before="0" w:beforeAutospacing="0" w:after="135" w:afterAutospacing="0" w:line="270" w:lineRule="atLeast"/>
        <w:jc w:val="both"/>
        <w:rPr>
          <w:sz w:val="28"/>
          <w:szCs w:val="28"/>
        </w:rPr>
      </w:pPr>
    </w:p>
    <w:p w:rsidR="008F5FCB" w:rsidRPr="00824B9B" w:rsidRDefault="00535B72" w:rsidP="00535B72">
      <w:pPr>
        <w:pStyle w:val="NormalWeb"/>
        <w:numPr>
          <w:ilvl w:val="0"/>
          <w:numId w:val="1"/>
        </w:numPr>
        <w:spacing w:before="0" w:beforeAutospacing="0" w:after="135" w:afterAutospacing="0" w:line="270" w:lineRule="atLeast"/>
        <w:ind w:left="0" w:firstLine="1134"/>
        <w:jc w:val="both"/>
        <w:rPr>
          <w:b/>
          <w:sz w:val="28"/>
          <w:szCs w:val="28"/>
        </w:rPr>
      </w:pPr>
      <w:r w:rsidRPr="00824B9B">
        <w:rPr>
          <w:b/>
          <w:sz w:val="28"/>
          <w:szCs w:val="28"/>
        </w:rPr>
        <w:t>Da exigência de certidão negativa de recuperação judicial, extrajudicial e de falência do microempreendedor individual (</w:t>
      </w:r>
      <w:proofErr w:type="spellStart"/>
      <w:r w:rsidRPr="00824B9B">
        <w:rPr>
          <w:b/>
          <w:sz w:val="28"/>
          <w:szCs w:val="28"/>
        </w:rPr>
        <w:t>mei</w:t>
      </w:r>
      <w:proofErr w:type="spellEnd"/>
      <w:r w:rsidRPr="00824B9B">
        <w:rPr>
          <w:b/>
          <w:sz w:val="28"/>
          <w:szCs w:val="28"/>
        </w:rPr>
        <w:t xml:space="preserve">) como qualificação econômico-financeira em procedimentos </w:t>
      </w:r>
      <w:proofErr w:type="gramStart"/>
      <w:r w:rsidRPr="00824B9B">
        <w:rPr>
          <w:b/>
          <w:sz w:val="28"/>
          <w:szCs w:val="28"/>
        </w:rPr>
        <w:t>licitatórios</w:t>
      </w:r>
      <w:proofErr w:type="gramEnd"/>
    </w:p>
    <w:p w:rsidR="008F5FCB" w:rsidRPr="00824B9B" w:rsidRDefault="008F5FCB" w:rsidP="00535B72">
      <w:pPr>
        <w:pStyle w:val="NormalWeb"/>
        <w:spacing w:before="0" w:beforeAutospacing="0" w:after="135" w:afterAutospacing="0" w:line="270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 xml:space="preserve">A Lei de Licitações apresenta a qualificação econômico-financeira como requisito expresso de habilitação a ser preenchido pelos licitantes, o que deve ser feito mediante apresentação de documentação </w:t>
      </w:r>
      <w:r w:rsidRPr="00824B9B">
        <w:rPr>
          <w:sz w:val="28"/>
          <w:szCs w:val="28"/>
        </w:rPr>
        <w:lastRenderedPageBreak/>
        <w:t>válida para tal objetivo. Nesse sentido é o teor do artigo 27 da Lei nº 8.666/1993:</w:t>
      </w:r>
    </w:p>
    <w:p w:rsidR="008F5FCB" w:rsidRPr="00824B9B" w:rsidRDefault="008F5FCB" w:rsidP="00535B72">
      <w:pPr>
        <w:pStyle w:val="NormalWeb"/>
        <w:shd w:val="clear" w:color="auto" w:fill="FFFFFF"/>
        <w:spacing w:before="0" w:beforeAutospacing="0" w:after="0" w:afterAutospacing="0" w:line="293" w:lineRule="atLeast"/>
        <w:ind w:left="1701"/>
        <w:jc w:val="both"/>
        <w:rPr>
          <w:sz w:val="28"/>
          <w:szCs w:val="28"/>
        </w:rPr>
      </w:pPr>
      <w:r w:rsidRPr="00824B9B">
        <w:rPr>
          <w:rStyle w:val="nfase"/>
          <w:b/>
          <w:bCs/>
          <w:sz w:val="28"/>
          <w:szCs w:val="28"/>
          <w:shd w:val="clear" w:color="auto" w:fill="FFFFFF"/>
        </w:rPr>
        <w:t>Lei nº 8.666/1993</w:t>
      </w:r>
    </w:p>
    <w:p w:rsidR="008F5FCB" w:rsidRPr="00824B9B" w:rsidRDefault="008F5FCB" w:rsidP="00535B72">
      <w:pPr>
        <w:pStyle w:val="NormalWeb"/>
        <w:shd w:val="clear" w:color="auto" w:fill="FFFFFF"/>
        <w:spacing w:before="0" w:beforeAutospacing="0" w:after="0" w:afterAutospacing="0" w:line="293" w:lineRule="atLeast"/>
        <w:ind w:left="1701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  <w:shd w:val="clear" w:color="auto" w:fill="FFFFFF"/>
        </w:rPr>
        <w:t>Art. 27.  Para a habilitação nas licitações exigir-se-á dos interessados, exclusivamente, documentação relativa a:</w:t>
      </w:r>
    </w:p>
    <w:p w:rsidR="008F5FCB" w:rsidRPr="00824B9B" w:rsidRDefault="008F5FCB" w:rsidP="00535B72">
      <w:pPr>
        <w:pStyle w:val="NormalWeb"/>
        <w:shd w:val="clear" w:color="auto" w:fill="FFFFFF"/>
        <w:spacing w:before="0" w:beforeAutospacing="0" w:after="0" w:afterAutospacing="0" w:line="293" w:lineRule="atLeast"/>
        <w:ind w:left="1701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  <w:shd w:val="clear" w:color="auto" w:fill="FFFFFF"/>
        </w:rPr>
        <w:t>(...)</w:t>
      </w:r>
    </w:p>
    <w:p w:rsidR="008F5FCB" w:rsidRPr="00824B9B" w:rsidRDefault="008F5FCB" w:rsidP="00535B72">
      <w:pPr>
        <w:pStyle w:val="NormalWeb"/>
        <w:shd w:val="clear" w:color="auto" w:fill="FFFFFF"/>
        <w:spacing w:before="0" w:beforeAutospacing="0" w:after="0" w:afterAutospacing="0" w:line="293" w:lineRule="atLeast"/>
        <w:ind w:left="1701"/>
        <w:jc w:val="both"/>
        <w:rPr>
          <w:sz w:val="28"/>
          <w:szCs w:val="28"/>
        </w:rPr>
      </w:pPr>
      <w:r w:rsidRPr="00824B9B">
        <w:rPr>
          <w:rStyle w:val="nfase"/>
          <w:b/>
          <w:bCs/>
          <w:sz w:val="28"/>
          <w:szCs w:val="28"/>
          <w:shd w:val="clear" w:color="auto" w:fill="FFFFFF"/>
        </w:rPr>
        <w:t>III - qualificação econômico-financeira;</w:t>
      </w:r>
    </w:p>
    <w:p w:rsidR="008F5FCB" w:rsidRPr="00824B9B" w:rsidRDefault="008F5FCB" w:rsidP="00535B72">
      <w:pPr>
        <w:pStyle w:val="NormalWeb"/>
        <w:shd w:val="clear" w:color="auto" w:fill="FFFFFF"/>
        <w:spacing w:before="0" w:beforeAutospacing="0" w:after="0" w:afterAutospacing="0" w:line="293" w:lineRule="atLeast"/>
        <w:ind w:left="1701"/>
        <w:jc w:val="both"/>
        <w:rPr>
          <w:sz w:val="28"/>
          <w:szCs w:val="28"/>
        </w:rPr>
      </w:pPr>
      <w:bookmarkStart w:id="1" w:name="art27iv"/>
      <w:bookmarkStart w:id="2" w:name="art27iv."/>
      <w:bookmarkEnd w:id="1"/>
      <w:bookmarkEnd w:id="2"/>
      <w:r w:rsidRPr="00824B9B">
        <w:rPr>
          <w:rStyle w:val="nfase"/>
          <w:sz w:val="28"/>
          <w:szCs w:val="28"/>
          <w:shd w:val="clear" w:color="auto" w:fill="FFFFFF"/>
        </w:rPr>
        <w:t>(...).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De acordo com Marçal </w:t>
      </w:r>
      <w:proofErr w:type="spellStart"/>
      <w:r w:rsidRPr="00824B9B">
        <w:rPr>
          <w:sz w:val="28"/>
          <w:szCs w:val="28"/>
          <w:shd w:val="clear" w:color="auto" w:fill="FFFFFF"/>
        </w:rPr>
        <w:t>Justen</w:t>
      </w:r>
      <w:proofErr w:type="spellEnd"/>
      <w:r w:rsidRPr="00824B9B">
        <w:rPr>
          <w:sz w:val="28"/>
          <w:szCs w:val="28"/>
          <w:shd w:val="clear" w:color="auto" w:fill="FFFFFF"/>
        </w:rPr>
        <w:t xml:space="preserve"> Filho</w:t>
      </w:r>
      <w:r w:rsidR="00535B72" w:rsidRPr="00824B9B">
        <w:rPr>
          <w:sz w:val="28"/>
          <w:szCs w:val="28"/>
          <w:shd w:val="clear" w:color="auto" w:fill="FFFFFF"/>
        </w:rPr>
        <w:t>,</w:t>
      </w:r>
      <w:proofErr w:type="gramStart"/>
      <w:r w:rsidR="00535B72" w:rsidRPr="00824B9B">
        <w:rPr>
          <w:sz w:val="28"/>
          <w:szCs w:val="28"/>
          <w:shd w:val="clear" w:color="auto" w:fill="FFFFFF"/>
        </w:rPr>
        <w:t xml:space="preserve"> </w:t>
      </w:r>
      <w:r w:rsidRPr="00824B9B">
        <w:rPr>
          <w:sz w:val="28"/>
          <w:szCs w:val="28"/>
          <w:shd w:val="clear" w:color="auto" w:fill="FFFFFF"/>
        </w:rPr>
        <w:t xml:space="preserve"> </w:t>
      </w:r>
      <w:proofErr w:type="gramEnd"/>
      <w:r w:rsidRPr="00824B9B">
        <w:rPr>
          <w:sz w:val="28"/>
          <w:szCs w:val="28"/>
          <w:shd w:val="clear" w:color="auto" w:fill="FFFFFF"/>
        </w:rPr>
        <w:t>a qualificação econômico-fina</w:t>
      </w:r>
      <w:r w:rsidR="002A3076">
        <w:rPr>
          <w:sz w:val="28"/>
          <w:szCs w:val="28"/>
          <w:shd w:val="clear" w:color="auto" w:fill="FFFFFF"/>
        </w:rPr>
        <w:t xml:space="preserve">nceira direciona-se à </w:t>
      </w:r>
      <w:proofErr w:type="spellStart"/>
      <w:r w:rsidR="002A3076">
        <w:rPr>
          <w:sz w:val="28"/>
          <w:szCs w:val="28"/>
          <w:shd w:val="clear" w:color="auto" w:fill="FFFFFF"/>
        </w:rPr>
        <w:t>demonstr</w:t>
      </w:r>
      <w:r w:rsidRPr="00824B9B">
        <w:rPr>
          <w:sz w:val="28"/>
          <w:szCs w:val="28"/>
          <w:shd w:val="clear" w:color="auto" w:fill="FFFFFF"/>
        </w:rPr>
        <w:t>ão</w:t>
      </w:r>
      <w:proofErr w:type="spellEnd"/>
      <w:r w:rsidRPr="00824B9B">
        <w:rPr>
          <w:sz w:val="28"/>
          <w:szCs w:val="28"/>
          <w:shd w:val="clear" w:color="auto" w:fill="FFFFFF"/>
        </w:rPr>
        <w:t xml:space="preserve"> de existência de disponibilidade de recursos para a satisfatória execução do objeto da contratação. Isso porque incumbe ao contratado arcar com os custos da execução contratual, pois, salvo nas hipóteses de pagamento antecipado, o contratado somente será remunerado pela execução contratual após a entrega do objeto ou do serviço prestado.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Logo, considerando que o pagamento será efetuado somente após o recebimento, pela Administração, do objeto licitado, a regra é a de que o contratado suporte os custos necessários ao atendimento da demanda administrativa. </w:t>
      </w:r>
      <w:r w:rsidR="00535B72" w:rsidRPr="00824B9B">
        <w:rPr>
          <w:sz w:val="28"/>
          <w:szCs w:val="28"/>
          <w:shd w:val="clear" w:color="auto" w:fill="FFFFFF"/>
        </w:rPr>
        <w:t xml:space="preserve">Garantia de que o </w:t>
      </w:r>
      <w:r w:rsidRPr="00824B9B">
        <w:rPr>
          <w:sz w:val="28"/>
          <w:szCs w:val="28"/>
          <w:shd w:val="clear" w:color="auto" w:fill="FFFFFF"/>
        </w:rPr>
        <w:t>empresário tem condições de arcar com os custos daquela prestação de serviço, bem como se há disponibilidade financeira para arcar com a despesa inerente à mão de obra e respectivos encargos.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>Por outro lado, a lei elencou algumas situações em que se presume a ausência de qualificação econômico-financeira. É o que ocorre, por exemplo, com a exigência de certidão negativa de falência ou concordata, prevista no artigo 31 da Lei de Licitações. Caso referido documento não seja apresentado pelo licitante, presume-se como não atendido o requisito de qualificação exigido pela lei, em especial porque sua exigência decorre da literalidade da norma, de modo que não cabe ao intérprete distinguir quando a redação legal é expressa em determinado sentido.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Ocorre que a Lei Complementar nº 128/2008 criou e incluiu a figura do Microempreendedor Individual (MEI) no regime diferenciado disciplinado pela Lei Complementar nº 123/2006, inclusive no que se refere à preferência de contratação em procedimentos licitatórios. Além </w:t>
      </w:r>
      <w:r w:rsidRPr="00824B9B">
        <w:rPr>
          <w:sz w:val="28"/>
          <w:szCs w:val="28"/>
          <w:shd w:val="clear" w:color="auto" w:fill="FFFFFF"/>
        </w:rPr>
        <w:lastRenderedPageBreak/>
        <w:t>disso, foram criadas regras mais flexíveis de recolhimento tributário e procedimento de inscrição e baixa da empresa, a fim de estimular a inclusão legal e tributária dos profissionais que trabalhavam na informalidade.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>A legislação contém dispositivos destinados a incentivar a participação de microempresas e empresas de pequeno porte em procedimentos licitatórios, como forma de prestigiar o pequeno empreendedor, que é responsável por grande parcela da movimentação econômica brasileira e pela geração de inúmeros empregos.</w:t>
      </w:r>
    </w:p>
    <w:p w:rsidR="008F5FCB" w:rsidRPr="00824B9B" w:rsidRDefault="008F5FCB" w:rsidP="00535B72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>De acordo com o artigo 18-A da Lei Complementar nº 123/2006, o microempreendedor individual é identificado como empresário, nos termos da definição apresentada pelo artigo 966 do Código Civil, que contém a seguinte redação:</w:t>
      </w:r>
    </w:p>
    <w:p w:rsidR="008F5FCB" w:rsidRPr="00824B9B" w:rsidRDefault="008F5FCB" w:rsidP="00824B9B">
      <w:pPr>
        <w:pStyle w:val="NormalWeb"/>
        <w:shd w:val="clear" w:color="auto" w:fill="FFFFFF"/>
        <w:spacing w:before="0" w:beforeAutospacing="0" w:after="0" w:afterAutospacing="0" w:line="293" w:lineRule="atLeast"/>
        <w:ind w:left="1134"/>
        <w:jc w:val="both"/>
        <w:rPr>
          <w:rStyle w:val="nfase"/>
          <w:sz w:val="28"/>
          <w:szCs w:val="28"/>
          <w:shd w:val="clear" w:color="auto" w:fill="FFFFFF"/>
        </w:rPr>
      </w:pPr>
      <w:r w:rsidRPr="00824B9B">
        <w:rPr>
          <w:rStyle w:val="nfase"/>
          <w:sz w:val="28"/>
          <w:szCs w:val="28"/>
          <w:shd w:val="clear" w:color="auto" w:fill="FFFFFF"/>
        </w:rPr>
        <w:t>Art. 966. Considera-se empresário quem exerce profissionalmente atividade econômica organizada para a produção ou a circulação de bens ou de serviços.</w:t>
      </w:r>
    </w:p>
    <w:p w:rsidR="00824B9B" w:rsidRPr="00824B9B" w:rsidRDefault="00824B9B" w:rsidP="00824B9B">
      <w:pPr>
        <w:pStyle w:val="NormalWeb"/>
        <w:shd w:val="clear" w:color="auto" w:fill="FFFFFF"/>
        <w:spacing w:before="0" w:beforeAutospacing="0" w:after="0" w:afterAutospacing="0" w:line="293" w:lineRule="atLeast"/>
        <w:ind w:left="1134"/>
        <w:jc w:val="both"/>
        <w:rPr>
          <w:sz w:val="28"/>
          <w:szCs w:val="28"/>
        </w:rPr>
      </w:pPr>
    </w:p>
    <w:p w:rsidR="008F5FCB" w:rsidRPr="00824B9B" w:rsidRDefault="008F5FCB" w:rsidP="00824B9B">
      <w:pPr>
        <w:pStyle w:val="NormalWeb"/>
        <w:shd w:val="clear" w:color="auto" w:fill="FFFFFF"/>
        <w:spacing w:before="0" w:beforeAutospacing="0" w:after="0" w:afterAutospacing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  <w:shd w:val="clear" w:color="auto" w:fill="FFFFFF"/>
        </w:rPr>
        <w:t>Parágrafo único. Não se considera empresário quem exerce profissão intelectual, de natureza científica, literária ou artística, ainda com o concurso de auxiliares ou colaboradores, salvo se o exercício da profissão constituir elemento de empresa.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Todavia, para que seja possível saber se é possível exigir do microempreendedor individual (MEI) uma certidão negativa de recuperação judicial, falência ou concordata, é preciso verificar se esse empresário pode ser enquadrado como devedor, nos termos da Lei nº 11.101/2005, que trata da recuperação judicial, extrajudicial e da falência.</w:t>
      </w:r>
    </w:p>
    <w:p w:rsidR="008F5FCB" w:rsidRPr="00824B9B" w:rsidRDefault="008F5FCB" w:rsidP="001B3109">
      <w:pPr>
        <w:pStyle w:val="NormalWeb"/>
        <w:shd w:val="clear" w:color="auto" w:fill="FFFFFF"/>
        <w:spacing w:before="0" w:after="0" w:line="293" w:lineRule="atLeast"/>
        <w:ind w:firstLine="480"/>
        <w:jc w:val="both"/>
        <w:rPr>
          <w:sz w:val="28"/>
          <w:szCs w:val="28"/>
        </w:rPr>
      </w:pPr>
      <w:r w:rsidRPr="00824B9B">
        <w:rPr>
          <w:sz w:val="28"/>
          <w:szCs w:val="28"/>
        </w:rPr>
        <w:t>Sobre o tema, observa-se que o artigo 1º da Lei nº 11.101/2005 dispõe que sua disciplina é aplicável tanto ao empresário como à sociedade empresária, de modo a incluir a espécie de que trata o artigo 966 do Código Civil no rol de destinatários da norma. Segue transcrição do referido dispositivo legal: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apple-style-span"/>
          <w:sz w:val="28"/>
          <w:szCs w:val="28"/>
          <w:u w:val="single"/>
        </w:rPr>
        <w:t>Lei nº 11.101/2005: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</w:rPr>
        <w:lastRenderedPageBreak/>
        <w:t>Art. 1</w:t>
      </w:r>
      <w:r w:rsidRPr="00824B9B">
        <w:rPr>
          <w:rStyle w:val="nfase"/>
          <w:sz w:val="28"/>
          <w:szCs w:val="28"/>
          <w:u w:val="single"/>
          <w:vertAlign w:val="superscript"/>
        </w:rPr>
        <w:t>o</w:t>
      </w:r>
      <w:r w:rsidRPr="00824B9B">
        <w:rPr>
          <w:rStyle w:val="nfase"/>
          <w:sz w:val="28"/>
          <w:szCs w:val="28"/>
        </w:rPr>
        <w:t> Esta Lei disciplina a recuperação judicial, a recuperação extrajudicial e</w:t>
      </w:r>
      <w:r w:rsidRPr="00824B9B">
        <w:rPr>
          <w:rStyle w:val="apple-converted-space"/>
          <w:i/>
          <w:iCs/>
          <w:sz w:val="28"/>
          <w:szCs w:val="28"/>
        </w:rPr>
        <w:t> </w:t>
      </w:r>
      <w:r w:rsidRPr="00C1663D">
        <w:rPr>
          <w:rStyle w:val="Forte"/>
          <w:i/>
          <w:iCs/>
          <w:sz w:val="28"/>
          <w:szCs w:val="28"/>
        </w:rPr>
        <w:t>a falência do empresário</w:t>
      </w:r>
      <w:r w:rsidRPr="00824B9B">
        <w:rPr>
          <w:rStyle w:val="apple-converted-space"/>
          <w:i/>
          <w:iCs/>
          <w:sz w:val="28"/>
          <w:szCs w:val="28"/>
        </w:rPr>
        <w:t> </w:t>
      </w:r>
      <w:r w:rsidRPr="00824B9B">
        <w:rPr>
          <w:rStyle w:val="nfase"/>
          <w:sz w:val="28"/>
          <w:szCs w:val="28"/>
        </w:rPr>
        <w:t xml:space="preserve">e da sociedade empresária, doravante referidos simplesmente como </w:t>
      </w:r>
      <w:proofErr w:type="gramStart"/>
      <w:r w:rsidRPr="00824B9B">
        <w:rPr>
          <w:rStyle w:val="nfase"/>
          <w:sz w:val="28"/>
          <w:szCs w:val="28"/>
        </w:rPr>
        <w:t>devedor.</w:t>
      </w:r>
      <w:proofErr w:type="gramEnd"/>
      <w:r w:rsidRPr="00824B9B">
        <w:rPr>
          <w:rStyle w:val="apple-style-span"/>
          <w:sz w:val="28"/>
          <w:szCs w:val="28"/>
        </w:rPr>
        <w:t>(</w:t>
      </w:r>
      <w:proofErr w:type="spellStart"/>
      <w:r w:rsidRPr="00824B9B">
        <w:rPr>
          <w:rStyle w:val="apple-style-span"/>
          <w:sz w:val="28"/>
          <w:szCs w:val="28"/>
        </w:rPr>
        <w:t>g.n</w:t>
      </w:r>
      <w:proofErr w:type="spellEnd"/>
      <w:r w:rsidRPr="00824B9B">
        <w:rPr>
          <w:rStyle w:val="apple-style-span"/>
          <w:sz w:val="28"/>
          <w:szCs w:val="28"/>
        </w:rPr>
        <w:t>.)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apple-style-span"/>
          <w:sz w:val="28"/>
          <w:szCs w:val="28"/>
          <w:u w:val="single"/>
        </w:rPr>
        <w:t>Código Civil (Lei nº 10.406/2002):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</w:rPr>
        <w:t>Art. 966. Considera-se empresário quem exerce profissionalmente atividade econômica organizada para a produção ou a circulação de bens ou de serviços.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sz w:val="28"/>
          <w:szCs w:val="28"/>
        </w:rPr>
      </w:pPr>
      <w:r w:rsidRPr="00824B9B">
        <w:rPr>
          <w:rStyle w:val="nfase"/>
          <w:sz w:val="28"/>
          <w:szCs w:val="28"/>
        </w:rPr>
        <w:t>Parágrafo único. Não se considera empresário quem exerce profissão intelectual, de natureza científica, literária ou artística, ainda com o concurso de auxiliares ou colaboradores, salvo se o exercício da profissão constituir elemento de empresa.</w:t>
      </w:r>
    </w:p>
    <w:p w:rsidR="00824B9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 xml:space="preserve">Considerando o disposto no artigo 1º da Lei de Falências, entende-se que não há qualquer óbice para que o empresário ou microempreendedor individual sejam sujeitos de pedido de falência ou recuperação judicial/extrajudicial. 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Não </w:t>
      </w:r>
      <w:proofErr w:type="gramStart"/>
      <w:r w:rsidRPr="00824B9B">
        <w:rPr>
          <w:sz w:val="28"/>
          <w:szCs w:val="28"/>
          <w:shd w:val="clear" w:color="auto" w:fill="FFFFFF"/>
        </w:rPr>
        <w:t>há,</w:t>
      </w:r>
      <w:proofErr w:type="gramEnd"/>
      <w:r w:rsidRPr="00824B9B">
        <w:rPr>
          <w:sz w:val="28"/>
          <w:szCs w:val="28"/>
          <w:shd w:val="clear" w:color="auto" w:fill="FFFFFF"/>
        </w:rPr>
        <w:t xml:space="preserve"> desse modo, qualquer impropriedade em exigir certidão negativa de falência e recuperação judicial relativamente ao microempreendedor individual como requisito de habilitação em procedimentos licitatórios. Pelo contrário, trata-se de imposição legal, cuja observância pela Administração Pública é obrigatória, salvo em casos excepcionais, cujo regramento deve ser definido no edital e justificado no respectivo processo administrativo de contratação.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Ainda quanto à Lei nº 11.101/2005, nota-se foram indicadas expressamente as instituições que não se submetem à sua disciplina, dentre as quais não de identifica, ainda que por analogia, a espécie do microempreendedor individual ou empresário. É o que se extrai </w:t>
      </w:r>
      <w:proofErr w:type="gramStart"/>
      <w:r w:rsidRPr="00824B9B">
        <w:rPr>
          <w:sz w:val="28"/>
          <w:szCs w:val="28"/>
          <w:shd w:val="clear" w:color="auto" w:fill="FFFFFF"/>
        </w:rPr>
        <w:t>do artigo 2º e incisos da Lei de Falências, abaixo reproduzido</w:t>
      </w:r>
      <w:proofErr w:type="gramEnd"/>
      <w:r w:rsidRPr="00824B9B">
        <w:rPr>
          <w:sz w:val="28"/>
          <w:szCs w:val="28"/>
          <w:shd w:val="clear" w:color="auto" w:fill="FFFFFF"/>
        </w:rPr>
        <w:t>: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i/>
          <w:sz w:val="28"/>
          <w:szCs w:val="28"/>
        </w:rPr>
      </w:pPr>
      <w:r w:rsidRPr="00824B9B">
        <w:rPr>
          <w:rStyle w:val="nfase"/>
          <w:i w:val="0"/>
          <w:sz w:val="28"/>
          <w:szCs w:val="28"/>
        </w:rPr>
        <w:t>  Art. 2</w:t>
      </w:r>
      <w:r w:rsidRPr="00824B9B">
        <w:rPr>
          <w:rStyle w:val="nfase"/>
          <w:i w:val="0"/>
          <w:sz w:val="28"/>
          <w:szCs w:val="28"/>
          <w:u w:val="single"/>
          <w:vertAlign w:val="superscript"/>
        </w:rPr>
        <w:t>o</w:t>
      </w:r>
      <w:r w:rsidRPr="00824B9B">
        <w:rPr>
          <w:rStyle w:val="nfase"/>
          <w:i w:val="0"/>
          <w:sz w:val="28"/>
          <w:szCs w:val="28"/>
        </w:rPr>
        <w:t> Esta Lei não se aplica a: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i/>
          <w:sz w:val="28"/>
          <w:szCs w:val="28"/>
        </w:rPr>
      </w:pPr>
      <w:r w:rsidRPr="00824B9B">
        <w:rPr>
          <w:rStyle w:val="nfase"/>
          <w:i w:val="0"/>
          <w:sz w:val="28"/>
          <w:szCs w:val="28"/>
        </w:rPr>
        <w:t>I – empresa pública e sociedade de economia mista;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left="1134"/>
        <w:jc w:val="both"/>
        <w:rPr>
          <w:i/>
          <w:sz w:val="28"/>
          <w:szCs w:val="28"/>
        </w:rPr>
      </w:pPr>
      <w:r w:rsidRPr="00824B9B">
        <w:rPr>
          <w:rStyle w:val="nfase"/>
          <w:i w:val="0"/>
          <w:sz w:val="28"/>
          <w:szCs w:val="28"/>
        </w:rPr>
        <w:lastRenderedPageBreak/>
        <w:t>II – instituição financeira pública ou privada, cooperativa de crédito, consórcio, entidade de previdência complementar, sociedade operadora de plano de assistência à saúde, sociedade seguradora, sociedade de capitalização e outras entidades legalmente equiparadas às anteriores.</w:t>
      </w:r>
    </w:p>
    <w:p w:rsidR="008F5FCB" w:rsidRPr="00824B9B" w:rsidRDefault="008F5FCB" w:rsidP="00824B9B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</w:rPr>
      </w:pPr>
      <w:r w:rsidRPr="00824B9B">
        <w:rPr>
          <w:sz w:val="28"/>
          <w:szCs w:val="28"/>
          <w:shd w:val="clear" w:color="auto" w:fill="FFFFFF"/>
        </w:rPr>
        <w:t xml:space="preserve">De todo modo, ainda que se entenda que os microempreendedores individuais não se submetem à Lei de Falências, convém ressaltar a possibilidade ocorrência da insolvência civil por parte de tais empresários, que é caracterizada pela constatação de que </w:t>
      </w:r>
      <w:proofErr w:type="gramStart"/>
      <w:r w:rsidRPr="00824B9B">
        <w:rPr>
          <w:sz w:val="28"/>
          <w:szCs w:val="28"/>
          <w:shd w:val="clear" w:color="auto" w:fill="FFFFFF"/>
        </w:rPr>
        <w:t>o valor das dívidas superam</w:t>
      </w:r>
      <w:proofErr w:type="gramEnd"/>
      <w:r w:rsidRPr="00824B9B">
        <w:rPr>
          <w:sz w:val="28"/>
          <w:szCs w:val="28"/>
          <w:shd w:val="clear" w:color="auto" w:fill="FFFFFF"/>
        </w:rPr>
        <w:t xml:space="preserve"> a importância dos bens do devedor, nos termos da definição constante do artigo 955 do Código Civil.</w:t>
      </w:r>
    </w:p>
    <w:p w:rsidR="00824B9B" w:rsidRPr="00824B9B" w:rsidRDefault="008F5FCB" w:rsidP="001B3109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 xml:space="preserve">É claro que a Administração não deve contratar com empresário ou pessoa física civilmente insolvente, em razão do não preenchimento do requisito de habilitação </w:t>
      </w:r>
      <w:proofErr w:type="gramStart"/>
      <w:r w:rsidRPr="00824B9B">
        <w:rPr>
          <w:sz w:val="28"/>
          <w:szCs w:val="28"/>
          <w:shd w:val="clear" w:color="auto" w:fill="FFFFFF"/>
        </w:rPr>
        <w:t>econômico-financeira expressamente exigido</w:t>
      </w:r>
      <w:proofErr w:type="gramEnd"/>
      <w:r w:rsidRPr="00824B9B">
        <w:rPr>
          <w:sz w:val="28"/>
          <w:szCs w:val="28"/>
          <w:shd w:val="clear" w:color="auto" w:fill="FFFFFF"/>
        </w:rPr>
        <w:t xml:space="preserve"> pela Lei de Licitações.</w:t>
      </w:r>
    </w:p>
    <w:p w:rsidR="008F5FCB" w:rsidRPr="00824B9B" w:rsidRDefault="008F5FCB" w:rsidP="001B3109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 xml:space="preserve">Dessa forma, em conclusão a tudo o que foi exposto, entende-se que a apresentação de certidão negativa de falência ou concordata é exigência que se aplica também ao microempreendedor individual, não havendo que se falar em aplicação de tratamento menos rigoroso no tocante a tal requisito, pois a Lei Complementar nº 128/2008 não trouxe qualquer peculiaridade que permita concluir que sua exigência não se aplica </w:t>
      </w:r>
      <w:proofErr w:type="gramStart"/>
      <w:r w:rsidRPr="00824B9B">
        <w:rPr>
          <w:sz w:val="28"/>
          <w:szCs w:val="28"/>
          <w:shd w:val="clear" w:color="auto" w:fill="FFFFFF"/>
        </w:rPr>
        <w:t>à</w:t>
      </w:r>
      <w:proofErr w:type="gramEnd"/>
      <w:r w:rsidRPr="00824B9B">
        <w:rPr>
          <w:sz w:val="28"/>
          <w:szCs w:val="28"/>
          <w:shd w:val="clear" w:color="auto" w:fill="FFFFFF"/>
        </w:rPr>
        <w:t xml:space="preserve"> tal espécie de empresário.</w:t>
      </w:r>
    </w:p>
    <w:p w:rsidR="00824B9B" w:rsidRPr="00824B9B" w:rsidRDefault="00824B9B" w:rsidP="001B3109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 xml:space="preserve">Verifica-se que tal certidão, pode ser solicitada via internet sem onerosidade ao pequeno empresário individual, sendo que não sustenta qualquer alegação de que o Empresário Individual tenha que ser tratado como pessoa física, visto que sua natureza jurídica é de Pessoa Jurídica, conforme se verifica na própria impugnação, detentor de </w:t>
      </w:r>
      <w:proofErr w:type="gramStart"/>
      <w:r w:rsidRPr="00824B9B">
        <w:rPr>
          <w:sz w:val="28"/>
          <w:szCs w:val="28"/>
          <w:shd w:val="clear" w:color="auto" w:fill="FFFFFF"/>
        </w:rPr>
        <w:t>Cadastro de Pessoas Jurídica</w:t>
      </w:r>
      <w:proofErr w:type="gramEnd"/>
      <w:r w:rsidRPr="00824B9B">
        <w:rPr>
          <w:sz w:val="28"/>
          <w:szCs w:val="28"/>
          <w:shd w:val="clear" w:color="auto" w:fill="FFFFFF"/>
        </w:rPr>
        <w:t>, CNPJ.</w:t>
      </w:r>
    </w:p>
    <w:p w:rsidR="00824B9B" w:rsidRPr="00824B9B" w:rsidRDefault="00824B9B" w:rsidP="001B3109">
      <w:pPr>
        <w:pStyle w:val="NormalWeb"/>
        <w:shd w:val="clear" w:color="auto" w:fill="FFFFFF"/>
        <w:spacing w:before="0" w:after="0" w:line="293" w:lineRule="atLeast"/>
        <w:ind w:firstLine="480"/>
        <w:jc w:val="both"/>
        <w:rPr>
          <w:sz w:val="28"/>
          <w:szCs w:val="28"/>
          <w:shd w:val="clear" w:color="auto" w:fill="FFFFFF"/>
        </w:rPr>
      </w:pPr>
    </w:p>
    <w:p w:rsidR="00824B9B" w:rsidRPr="00824B9B" w:rsidRDefault="00824B9B" w:rsidP="00C1663D">
      <w:pPr>
        <w:pStyle w:val="NormalWeb"/>
        <w:shd w:val="clear" w:color="auto" w:fill="FFFFFF"/>
        <w:spacing w:before="0" w:after="0" w:line="293" w:lineRule="atLeast"/>
        <w:ind w:firstLine="1276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>DECISÃO</w:t>
      </w:r>
    </w:p>
    <w:p w:rsidR="00C1663D" w:rsidRDefault="00824B9B" w:rsidP="00C1663D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  <w:r w:rsidRPr="00824B9B">
        <w:rPr>
          <w:sz w:val="28"/>
          <w:szCs w:val="28"/>
          <w:shd w:val="clear" w:color="auto" w:fill="FFFFFF"/>
        </w:rPr>
        <w:t xml:space="preserve">Sendo assim, o presente Edital será republicado, apenas para alterar </w:t>
      </w:r>
      <w:r w:rsidR="00C1663D">
        <w:rPr>
          <w:sz w:val="28"/>
          <w:szCs w:val="28"/>
          <w:shd w:val="clear" w:color="auto" w:fill="FFFFFF"/>
        </w:rPr>
        <w:t xml:space="preserve">a data de realização do certame e retirar marca de produto do Termo de Referência, </w:t>
      </w:r>
      <w:r w:rsidRPr="00824B9B">
        <w:rPr>
          <w:sz w:val="28"/>
          <w:szCs w:val="28"/>
          <w:shd w:val="clear" w:color="auto" w:fill="FFFFFF"/>
        </w:rPr>
        <w:t xml:space="preserve">entendendo não haver justificativa na reforma </w:t>
      </w:r>
      <w:r w:rsidR="00C1663D">
        <w:rPr>
          <w:sz w:val="28"/>
          <w:szCs w:val="28"/>
          <w:shd w:val="clear" w:color="auto" w:fill="FFFFFF"/>
        </w:rPr>
        <w:t xml:space="preserve">do edital para </w:t>
      </w:r>
      <w:r w:rsidR="00C1663D">
        <w:rPr>
          <w:sz w:val="28"/>
          <w:szCs w:val="28"/>
          <w:shd w:val="clear" w:color="auto" w:fill="FFFFFF"/>
        </w:rPr>
        <w:lastRenderedPageBreak/>
        <w:t xml:space="preserve">dispensar o empresário individual, micro ou pequena empresa de apresentação de certidão negativa de falência e de apresentação de Balanço Patrimonial, </w:t>
      </w:r>
      <w:r w:rsidRPr="00824B9B">
        <w:rPr>
          <w:sz w:val="28"/>
          <w:szCs w:val="28"/>
          <w:shd w:val="clear" w:color="auto" w:fill="FFFFFF"/>
        </w:rPr>
        <w:t xml:space="preserve">permanecendo o presente inalterado quanto </w:t>
      </w:r>
      <w:r w:rsidR="00C1663D">
        <w:rPr>
          <w:sz w:val="28"/>
          <w:szCs w:val="28"/>
          <w:shd w:val="clear" w:color="auto" w:fill="FFFFFF"/>
        </w:rPr>
        <w:t>a esses dois últimos.</w:t>
      </w:r>
      <w:r w:rsidR="002C4CA2">
        <w:rPr>
          <w:sz w:val="28"/>
          <w:szCs w:val="28"/>
          <w:shd w:val="clear" w:color="auto" w:fill="FFFFFF"/>
        </w:rPr>
        <w:t xml:space="preserve"> Quanto ao técnico encontra-se discriminado no termo de referencia anexo I no item </w:t>
      </w:r>
      <w:proofErr w:type="gramStart"/>
      <w:r w:rsidR="002C4CA2">
        <w:rPr>
          <w:sz w:val="28"/>
          <w:szCs w:val="28"/>
          <w:shd w:val="clear" w:color="auto" w:fill="FFFFFF"/>
        </w:rPr>
        <w:t>6</w:t>
      </w:r>
      <w:proofErr w:type="gramEnd"/>
      <w:r w:rsidR="002C4CA2">
        <w:rPr>
          <w:sz w:val="28"/>
          <w:szCs w:val="28"/>
          <w:shd w:val="clear" w:color="auto" w:fill="FFFFFF"/>
        </w:rPr>
        <w:t xml:space="preserve"> (repórter cinematográfico e fotografo jornalista) e que tal solicitação se faz necessário ao item 01(contratação de empresa especializada em cobertura fotográfica das sessões, incluindo arquivo em CD de cada sessão. Filmagens das sessões, incluindo arquivo em </w:t>
      </w:r>
      <w:proofErr w:type="spellStart"/>
      <w:r w:rsidR="002C4CA2">
        <w:rPr>
          <w:sz w:val="28"/>
          <w:szCs w:val="28"/>
          <w:shd w:val="clear" w:color="auto" w:fill="FFFFFF"/>
        </w:rPr>
        <w:t>mini-dv</w:t>
      </w:r>
      <w:proofErr w:type="spellEnd"/>
      <w:r w:rsidR="002211F9">
        <w:rPr>
          <w:sz w:val="28"/>
          <w:szCs w:val="28"/>
          <w:shd w:val="clear" w:color="auto" w:fill="FFFFFF"/>
        </w:rPr>
        <w:t xml:space="preserve"> de cada sessão plenária. Gravação de áudio das sessões, incluindo arquivo em </w:t>
      </w:r>
      <w:proofErr w:type="spellStart"/>
      <w:r w:rsidR="002211F9">
        <w:rPr>
          <w:sz w:val="28"/>
          <w:szCs w:val="28"/>
          <w:shd w:val="clear" w:color="auto" w:fill="FFFFFF"/>
        </w:rPr>
        <w:t>cd</w:t>
      </w:r>
      <w:proofErr w:type="spellEnd"/>
      <w:r w:rsidR="002211F9">
        <w:rPr>
          <w:sz w:val="28"/>
          <w:szCs w:val="28"/>
          <w:shd w:val="clear" w:color="auto" w:fill="FFFFFF"/>
        </w:rPr>
        <w:t xml:space="preserve"> de cada sessão).</w:t>
      </w:r>
    </w:p>
    <w:p w:rsidR="00C1663D" w:rsidRDefault="00C1663D" w:rsidP="004F53BB">
      <w:pPr>
        <w:pStyle w:val="NormalWeb"/>
        <w:shd w:val="clear" w:color="auto" w:fill="FFFFFF"/>
        <w:spacing w:before="0" w:after="0" w:line="293" w:lineRule="atLeast"/>
        <w:ind w:firstLine="1134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Monte Negro, 18 de março de 2014.</w:t>
      </w:r>
    </w:p>
    <w:p w:rsidR="00C1663D" w:rsidRDefault="00C1663D" w:rsidP="00C1663D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</w:p>
    <w:p w:rsidR="00C1663D" w:rsidRPr="00824B9B" w:rsidRDefault="00C1663D" w:rsidP="00C1663D">
      <w:pPr>
        <w:pStyle w:val="NormalWeb"/>
        <w:shd w:val="clear" w:color="auto" w:fill="FFFFFF"/>
        <w:spacing w:before="0" w:after="0" w:line="293" w:lineRule="atLeast"/>
        <w:ind w:firstLine="1134"/>
        <w:jc w:val="both"/>
        <w:rPr>
          <w:sz w:val="28"/>
          <w:szCs w:val="28"/>
          <w:shd w:val="clear" w:color="auto" w:fill="FFFFFF"/>
        </w:rPr>
      </w:pPr>
    </w:p>
    <w:p w:rsidR="002A3076" w:rsidRDefault="002A3076" w:rsidP="001B3109">
      <w:pPr>
        <w:pStyle w:val="NormalWeb"/>
        <w:shd w:val="clear" w:color="auto" w:fill="FFFFFF"/>
        <w:spacing w:before="0" w:after="0" w:line="293" w:lineRule="atLeast"/>
        <w:ind w:firstLine="480"/>
        <w:jc w:val="both"/>
        <w:rPr>
          <w:sz w:val="28"/>
          <w:szCs w:val="28"/>
        </w:rPr>
      </w:pPr>
    </w:p>
    <w:p w:rsidR="002A3076" w:rsidRPr="00451704" w:rsidRDefault="002A3076" w:rsidP="002A3076">
      <w:pPr>
        <w:rPr>
          <w:rFonts w:ascii="Times New Roman" w:hAnsi="Times New Roman"/>
          <w:sz w:val="24"/>
          <w:szCs w:val="24"/>
          <w:lang w:eastAsia="pt-BR"/>
        </w:rPr>
      </w:pPr>
    </w:p>
    <w:p w:rsidR="00824B9B" w:rsidRPr="00451704" w:rsidRDefault="002A3076" w:rsidP="002A3076">
      <w:pPr>
        <w:tabs>
          <w:tab w:val="left" w:pos="504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 w:rsidRPr="00451704">
        <w:rPr>
          <w:rFonts w:ascii="Times New Roman" w:hAnsi="Times New Roman"/>
          <w:sz w:val="28"/>
          <w:szCs w:val="28"/>
          <w:lang w:eastAsia="pt-BR"/>
        </w:rPr>
        <w:t>Andréia da Silva Siqueira</w:t>
      </w:r>
    </w:p>
    <w:p w:rsidR="002A3076" w:rsidRPr="00451704" w:rsidRDefault="002A3076" w:rsidP="002A3076">
      <w:pPr>
        <w:tabs>
          <w:tab w:val="left" w:pos="504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 w:rsidRPr="00451704">
        <w:rPr>
          <w:rFonts w:ascii="Times New Roman" w:hAnsi="Times New Roman"/>
          <w:sz w:val="28"/>
          <w:szCs w:val="28"/>
          <w:lang w:eastAsia="pt-BR"/>
        </w:rPr>
        <w:t>Pregoeira/CMMN</w:t>
      </w:r>
    </w:p>
    <w:sectPr w:rsidR="002A3076" w:rsidRPr="004517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76" w:rsidRDefault="002A3076" w:rsidP="002A3076">
      <w:pPr>
        <w:spacing w:after="0" w:line="240" w:lineRule="auto"/>
      </w:pPr>
      <w:r>
        <w:separator/>
      </w:r>
    </w:p>
  </w:endnote>
  <w:endnote w:type="continuationSeparator" w:id="0">
    <w:p w:rsidR="002A3076" w:rsidRDefault="002A3076" w:rsidP="002A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76" w:rsidRDefault="002A3076" w:rsidP="002A3076">
      <w:pPr>
        <w:spacing w:after="0" w:line="240" w:lineRule="auto"/>
      </w:pPr>
      <w:r>
        <w:separator/>
      </w:r>
    </w:p>
  </w:footnote>
  <w:footnote w:type="continuationSeparator" w:id="0">
    <w:p w:rsidR="002A3076" w:rsidRDefault="002A3076" w:rsidP="002A3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76" w:rsidRDefault="002A3076">
    <w:pPr>
      <w:pStyle w:val="Cabealho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979253</wp:posOffset>
              </wp:positionH>
              <wp:positionV relativeFrom="paragraph">
                <wp:posOffset>130865</wp:posOffset>
              </wp:positionV>
              <wp:extent cx="4094922" cy="977900"/>
              <wp:effectExtent l="0" t="0" r="2032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2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3076" w:rsidRPr="002A3076" w:rsidRDefault="002A3076" w:rsidP="002A3076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A307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ESTADO DE RONDÔNIA</w:t>
                          </w:r>
                        </w:p>
                        <w:p w:rsidR="002A3076" w:rsidRPr="002A3076" w:rsidRDefault="002A3076" w:rsidP="002A307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 w:rsidRPr="002A3076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CÂMARA MUNICIPAL DE MONTE NEGRO</w:t>
                          </w:r>
                        </w:p>
                        <w:p w:rsidR="002A3076" w:rsidRPr="002A3076" w:rsidRDefault="002A3076" w:rsidP="002A3076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A307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PODER LEGISLATIVO</w:t>
                          </w:r>
                        </w:p>
                        <w:p w:rsidR="002A3076" w:rsidRPr="007C3C53" w:rsidRDefault="002A3076" w:rsidP="002A307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7.1pt;margin-top:10.3pt;width:322.4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">
              <v:textbox>
                <w:txbxContent>
                  <w:p w:rsidR="002A3076" w:rsidRPr="002A3076" w:rsidRDefault="002A3076" w:rsidP="002A3076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2A3076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ESTADO DE RONDÔNIA</w:t>
                    </w:r>
                  </w:p>
                  <w:p w:rsidR="002A3076" w:rsidRPr="002A3076" w:rsidRDefault="002A3076" w:rsidP="002A3076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2A3076">
                      <w:rPr>
                        <w:rFonts w:ascii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>CÂMARA MUNICIPAL DE MONTE NEGRO</w:t>
                    </w:r>
                  </w:p>
                  <w:p w:rsidR="002A3076" w:rsidRPr="002A3076" w:rsidRDefault="002A3076" w:rsidP="002A3076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2A3076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PODER LEGISLATIVO</w:t>
                    </w:r>
                  </w:p>
                  <w:p w:rsidR="002A3076" w:rsidRPr="007C3C53" w:rsidRDefault="002A3076" w:rsidP="002A307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inline distT="0" distB="0" distL="0" distR="0">
          <wp:extent cx="890270" cy="1232535"/>
          <wp:effectExtent l="0" t="0" r="5080" b="5715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644C2"/>
    <w:multiLevelType w:val="hybridMultilevel"/>
    <w:tmpl w:val="753AB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BB"/>
    <w:rsid w:val="00001285"/>
    <w:rsid w:val="00035B3D"/>
    <w:rsid w:val="00053F94"/>
    <w:rsid w:val="000730C5"/>
    <w:rsid w:val="000C14D3"/>
    <w:rsid w:val="000C77E0"/>
    <w:rsid w:val="000D3998"/>
    <w:rsid w:val="000F55D4"/>
    <w:rsid w:val="00117294"/>
    <w:rsid w:val="00130166"/>
    <w:rsid w:val="00130A44"/>
    <w:rsid w:val="00132CF7"/>
    <w:rsid w:val="00167C9C"/>
    <w:rsid w:val="00170DC4"/>
    <w:rsid w:val="00176398"/>
    <w:rsid w:val="001912AB"/>
    <w:rsid w:val="001A261E"/>
    <w:rsid w:val="001B3109"/>
    <w:rsid w:val="001B6B2E"/>
    <w:rsid w:val="001E4D5D"/>
    <w:rsid w:val="001E789F"/>
    <w:rsid w:val="002211F9"/>
    <w:rsid w:val="002506F0"/>
    <w:rsid w:val="00250FBD"/>
    <w:rsid w:val="00254ABD"/>
    <w:rsid w:val="00256FA0"/>
    <w:rsid w:val="00261B80"/>
    <w:rsid w:val="00263BA1"/>
    <w:rsid w:val="00264718"/>
    <w:rsid w:val="00267B31"/>
    <w:rsid w:val="00267D4A"/>
    <w:rsid w:val="0027510D"/>
    <w:rsid w:val="00282520"/>
    <w:rsid w:val="002907D5"/>
    <w:rsid w:val="002A1039"/>
    <w:rsid w:val="002A3076"/>
    <w:rsid w:val="002B0906"/>
    <w:rsid w:val="002C061B"/>
    <w:rsid w:val="002C173F"/>
    <w:rsid w:val="002C4CA2"/>
    <w:rsid w:val="002E4078"/>
    <w:rsid w:val="002E61C8"/>
    <w:rsid w:val="002F02E6"/>
    <w:rsid w:val="00303199"/>
    <w:rsid w:val="0030347F"/>
    <w:rsid w:val="00307F91"/>
    <w:rsid w:val="003106A5"/>
    <w:rsid w:val="00326DE5"/>
    <w:rsid w:val="00357820"/>
    <w:rsid w:val="00366624"/>
    <w:rsid w:val="00370FB0"/>
    <w:rsid w:val="00391302"/>
    <w:rsid w:val="003B45A9"/>
    <w:rsid w:val="003D4BAC"/>
    <w:rsid w:val="00420B41"/>
    <w:rsid w:val="00421D02"/>
    <w:rsid w:val="00424160"/>
    <w:rsid w:val="00430B00"/>
    <w:rsid w:val="00451704"/>
    <w:rsid w:val="00451EA3"/>
    <w:rsid w:val="004562E8"/>
    <w:rsid w:val="004742FC"/>
    <w:rsid w:val="0049346C"/>
    <w:rsid w:val="00493711"/>
    <w:rsid w:val="004A5FA9"/>
    <w:rsid w:val="004C71B4"/>
    <w:rsid w:val="004D127F"/>
    <w:rsid w:val="004E0574"/>
    <w:rsid w:val="004E4D5F"/>
    <w:rsid w:val="004F0D3C"/>
    <w:rsid w:val="004F0E0F"/>
    <w:rsid w:val="004F53BB"/>
    <w:rsid w:val="004F742D"/>
    <w:rsid w:val="004F744B"/>
    <w:rsid w:val="004F7740"/>
    <w:rsid w:val="00507766"/>
    <w:rsid w:val="005103C5"/>
    <w:rsid w:val="0053172C"/>
    <w:rsid w:val="00534121"/>
    <w:rsid w:val="00535B72"/>
    <w:rsid w:val="00561380"/>
    <w:rsid w:val="005634D3"/>
    <w:rsid w:val="00563A88"/>
    <w:rsid w:val="0059532A"/>
    <w:rsid w:val="005C5EFA"/>
    <w:rsid w:val="005E2605"/>
    <w:rsid w:val="005E2DDC"/>
    <w:rsid w:val="005E2DEB"/>
    <w:rsid w:val="006202E0"/>
    <w:rsid w:val="00622154"/>
    <w:rsid w:val="0063118F"/>
    <w:rsid w:val="00652A63"/>
    <w:rsid w:val="00656C44"/>
    <w:rsid w:val="00657250"/>
    <w:rsid w:val="00661D76"/>
    <w:rsid w:val="006877C8"/>
    <w:rsid w:val="0069179B"/>
    <w:rsid w:val="0069230D"/>
    <w:rsid w:val="006959BD"/>
    <w:rsid w:val="006B1997"/>
    <w:rsid w:val="006D5033"/>
    <w:rsid w:val="007049A4"/>
    <w:rsid w:val="00710921"/>
    <w:rsid w:val="00710A34"/>
    <w:rsid w:val="0071374B"/>
    <w:rsid w:val="007209E2"/>
    <w:rsid w:val="007463C6"/>
    <w:rsid w:val="00752C67"/>
    <w:rsid w:val="00762E73"/>
    <w:rsid w:val="007648B8"/>
    <w:rsid w:val="00791151"/>
    <w:rsid w:val="0079204A"/>
    <w:rsid w:val="0079290D"/>
    <w:rsid w:val="00796E29"/>
    <w:rsid w:val="007B174A"/>
    <w:rsid w:val="007D0295"/>
    <w:rsid w:val="007D2973"/>
    <w:rsid w:val="007F47E5"/>
    <w:rsid w:val="00820C05"/>
    <w:rsid w:val="00824B9B"/>
    <w:rsid w:val="00827E0E"/>
    <w:rsid w:val="0084223B"/>
    <w:rsid w:val="00855FD9"/>
    <w:rsid w:val="00856F7A"/>
    <w:rsid w:val="00882694"/>
    <w:rsid w:val="00893C4E"/>
    <w:rsid w:val="00895A93"/>
    <w:rsid w:val="008A4EAC"/>
    <w:rsid w:val="008C276E"/>
    <w:rsid w:val="008D2B87"/>
    <w:rsid w:val="008D5EDF"/>
    <w:rsid w:val="008F5FCB"/>
    <w:rsid w:val="0091071E"/>
    <w:rsid w:val="00961F95"/>
    <w:rsid w:val="009C037E"/>
    <w:rsid w:val="009C6097"/>
    <w:rsid w:val="009E1AE4"/>
    <w:rsid w:val="009E4D5E"/>
    <w:rsid w:val="009F2737"/>
    <w:rsid w:val="00A02EC8"/>
    <w:rsid w:val="00A0431E"/>
    <w:rsid w:val="00A04816"/>
    <w:rsid w:val="00A31EF0"/>
    <w:rsid w:val="00A33E48"/>
    <w:rsid w:val="00A40DF3"/>
    <w:rsid w:val="00A579AB"/>
    <w:rsid w:val="00A629C1"/>
    <w:rsid w:val="00A661D5"/>
    <w:rsid w:val="00A74778"/>
    <w:rsid w:val="00A864C4"/>
    <w:rsid w:val="00A929DC"/>
    <w:rsid w:val="00A93F3A"/>
    <w:rsid w:val="00AB57E6"/>
    <w:rsid w:val="00AC2AC4"/>
    <w:rsid w:val="00AD10FE"/>
    <w:rsid w:val="00AD3BA1"/>
    <w:rsid w:val="00AF71F3"/>
    <w:rsid w:val="00B07103"/>
    <w:rsid w:val="00B33375"/>
    <w:rsid w:val="00B53E61"/>
    <w:rsid w:val="00B57992"/>
    <w:rsid w:val="00B71712"/>
    <w:rsid w:val="00B81E95"/>
    <w:rsid w:val="00B854CD"/>
    <w:rsid w:val="00BB0836"/>
    <w:rsid w:val="00BB3F1A"/>
    <w:rsid w:val="00BF48FD"/>
    <w:rsid w:val="00BF5AF3"/>
    <w:rsid w:val="00BF6746"/>
    <w:rsid w:val="00C1663D"/>
    <w:rsid w:val="00C16A45"/>
    <w:rsid w:val="00C2570D"/>
    <w:rsid w:val="00C33B96"/>
    <w:rsid w:val="00C36E45"/>
    <w:rsid w:val="00C626C3"/>
    <w:rsid w:val="00C91437"/>
    <w:rsid w:val="00CA6BFB"/>
    <w:rsid w:val="00CB5D9E"/>
    <w:rsid w:val="00D01D4F"/>
    <w:rsid w:val="00D20CFB"/>
    <w:rsid w:val="00D4755E"/>
    <w:rsid w:val="00D539A0"/>
    <w:rsid w:val="00D7071F"/>
    <w:rsid w:val="00DB37A8"/>
    <w:rsid w:val="00DB683F"/>
    <w:rsid w:val="00DB6B71"/>
    <w:rsid w:val="00DC65E8"/>
    <w:rsid w:val="00DD1CC4"/>
    <w:rsid w:val="00DD2600"/>
    <w:rsid w:val="00E032E9"/>
    <w:rsid w:val="00E27399"/>
    <w:rsid w:val="00E43CBC"/>
    <w:rsid w:val="00E70F9D"/>
    <w:rsid w:val="00E75995"/>
    <w:rsid w:val="00E8515B"/>
    <w:rsid w:val="00E971B1"/>
    <w:rsid w:val="00EC20D3"/>
    <w:rsid w:val="00EC3024"/>
    <w:rsid w:val="00ED3AC4"/>
    <w:rsid w:val="00EE18E1"/>
    <w:rsid w:val="00EF3E09"/>
    <w:rsid w:val="00EF5404"/>
    <w:rsid w:val="00EF75F0"/>
    <w:rsid w:val="00F1213D"/>
    <w:rsid w:val="00F21C69"/>
    <w:rsid w:val="00F318EE"/>
    <w:rsid w:val="00F3503B"/>
    <w:rsid w:val="00F4025D"/>
    <w:rsid w:val="00F43B47"/>
    <w:rsid w:val="00F45E0B"/>
    <w:rsid w:val="00F63F96"/>
    <w:rsid w:val="00F6442F"/>
    <w:rsid w:val="00F822D0"/>
    <w:rsid w:val="00F950E5"/>
    <w:rsid w:val="00FA6E19"/>
    <w:rsid w:val="00FB1B64"/>
    <w:rsid w:val="00FB36E8"/>
    <w:rsid w:val="00FB4532"/>
    <w:rsid w:val="00FC16CB"/>
    <w:rsid w:val="00FC1C99"/>
    <w:rsid w:val="00FC1D14"/>
    <w:rsid w:val="00FD0635"/>
    <w:rsid w:val="00FD67B7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F5FC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8F5F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730C5"/>
  </w:style>
  <w:style w:type="character" w:styleId="Forte">
    <w:name w:val="Strong"/>
    <w:uiPriority w:val="22"/>
    <w:qFormat/>
    <w:rsid w:val="000730C5"/>
    <w:rPr>
      <w:b/>
      <w:bCs/>
    </w:rPr>
  </w:style>
  <w:style w:type="character" w:styleId="Hyperlink">
    <w:name w:val="Hyperlink"/>
    <w:uiPriority w:val="99"/>
    <w:semiHidden/>
    <w:unhideWhenUsed/>
    <w:rsid w:val="000730C5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8F5FC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8F5FCB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nfase">
    <w:name w:val="Emphasis"/>
    <w:uiPriority w:val="20"/>
    <w:qFormat/>
    <w:rsid w:val="008F5FCB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8F5FCB"/>
  </w:style>
  <w:style w:type="character" w:customStyle="1" w:styleId="apple-style-span">
    <w:name w:val="apple-style-span"/>
    <w:basedOn w:val="Fontepargpadro"/>
    <w:rsid w:val="008F5FCB"/>
  </w:style>
  <w:style w:type="paragraph" w:styleId="PargrafodaLista">
    <w:name w:val="List Paragraph"/>
    <w:basedOn w:val="Normal"/>
    <w:uiPriority w:val="34"/>
    <w:qFormat/>
    <w:rsid w:val="001B310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07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A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07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0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F5FC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8F5F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730C5"/>
  </w:style>
  <w:style w:type="character" w:styleId="Forte">
    <w:name w:val="Strong"/>
    <w:uiPriority w:val="22"/>
    <w:qFormat/>
    <w:rsid w:val="000730C5"/>
    <w:rPr>
      <w:b/>
      <w:bCs/>
    </w:rPr>
  </w:style>
  <w:style w:type="character" w:styleId="Hyperlink">
    <w:name w:val="Hyperlink"/>
    <w:uiPriority w:val="99"/>
    <w:semiHidden/>
    <w:unhideWhenUsed/>
    <w:rsid w:val="000730C5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8F5FC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8F5FCB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nfase">
    <w:name w:val="Emphasis"/>
    <w:uiPriority w:val="20"/>
    <w:qFormat/>
    <w:rsid w:val="008F5FCB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8F5FCB"/>
  </w:style>
  <w:style w:type="character" w:customStyle="1" w:styleId="apple-style-span">
    <w:name w:val="apple-style-span"/>
    <w:basedOn w:val="Fontepargpadro"/>
    <w:rsid w:val="008F5FCB"/>
  </w:style>
  <w:style w:type="paragraph" w:styleId="PargrafodaLista">
    <w:name w:val="List Paragraph"/>
    <w:basedOn w:val="Normal"/>
    <w:uiPriority w:val="34"/>
    <w:qFormat/>
    <w:rsid w:val="001B310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07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A3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07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0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7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2231484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929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9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59463194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02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5216808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338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866">
          <w:marLeft w:val="0"/>
          <w:marRight w:val="0"/>
          <w:marTop w:val="60"/>
          <w:marBottom w:val="60"/>
          <w:divBdr>
            <w:top w:val="none" w:sz="0" w:space="3" w:color="auto"/>
            <w:left w:val="none" w:sz="0" w:space="0" w:color="auto"/>
            <w:bottom w:val="single" w:sz="6" w:space="3" w:color="DDDDDD"/>
            <w:right w:val="none" w:sz="0" w:space="0" w:color="auto"/>
          </w:divBdr>
        </w:div>
      </w:divsChild>
    </w:div>
    <w:div w:id="1645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ei-8666-1993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Rar$DI62.072\RESPOSTA%20EDIT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RESPOSTA EDITAL.dot</Template>
  <TotalTime>153</TotalTime>
  <Pages>11</Pages>
  <Words>2969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http://www.normaslegais.com.br/legislacao/lei-8666-1993.htm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2014-03-18T17:23:00Z</cp:lastPrinted>
  <dcterms:created xsi:type="dcterms:W3CDTF">2014-03-18T14:11:00Z</dcterms:created>
  <dcterms:modified xsi:type="dcterms:W3CDTF">2014-03-18T17:23:00Z</dcterms:modified>
</cp:coreProperties>
</file>