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37374">
      <w:pPr>
        <w:pStyle w:val="Estilo"/>
        <w:rPr>
          <w:sz w:val="2"/>
          <w:szCs w:val="2"/>
        </w:rPr>
      </w:pPr>
    </w:p>
    <w:p w:rsidR="00000000" w:rsidRDefault="00976F68">
      <w:pPr>
        <w:pStyle w:val="Estilo"/>
        <w:framePr w:w="1459" w:h="1324" w:wrap="auto" w:hAnchor="margin" w:x="11" w:y="45"/>
      </w:pPr>
      <w:r>
        <w:rPr>
          <w:noProof/>
        </w:rPr>
        <w:drawing>
          <wp:inline distT="0" distB="0" distL="0" distR="0">
            <wp:extent cx="923925" cy="8382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37374">
      <w:pPr>
        <w:pStyle w:val="Estilo"/>
        <w:framePr w:w="7617" w:h="1075" w:wrap="auto" w:hAnchor="margin" w:x="2305" w:y="1"/>
        <w:spacing w:line="393" w:lineRule="exact"/>
        <w:ind w:right="580"/>
        <w:jc w:val="center"/>
        <w:rPr>
          <w:b/>
          <w:bCs/>
          <w:w w:val="109"/>
          <w:sz w:val="28"/>
          <w:szCs w:val="28"/>
        </w:rPr>
      </w:pPr>
      <w:r>
        <w:rPr>
          <w:b/>
          <w:bCs/>
          <w:w w:val="109"/>
        </w:rPr>
        <w:t xml:space="preserve">ESTADO DE RONDÔNIA </w:t>
      </w:r>
      <w:r>
        <w:rPr>
          <w:b/>
          <w:bCs/>
          <w:w w:val="109"/>
          <w:sz w:val="28"/>
          <w:szCs w:val="28"/>
        </w:rPr>
        <w:t xml:space="preserve">PREFEITURA MUNICIPAL DE MONTE NEGRO GABINETE DO PREFEITO </w:t>
      </w:r>
    </w:p>
    <w:p w:rsidR="00000000" w:rsidRDefault="00937374">
      <w:pPr>
        <w:pStyle w:val="Estilo"/>
        <w:framePr w:w="9921" w:h="556" w:wrap="auto" w:hAnchor="margin" w:x="1" w:y="1782"/>
        <w:spacing w:line="283" w:lineRule="exact"/>
        <w:ind w:left="9" w:right="5030"/>
        <w:rPr>
          <w:b/>
          <w:bCs/>
          <w:i/>
          <w:iCs/>
          <w:w w:val="106"/>
          <w:sz w:val="23"/>
          <w:szCs w:val="23"/>
        </w:rPr>
      </w:pPr>
      <w:r>
        <w:rPr>
          <w:b/>
          <w:bCs/>
          <w:i/>
          <w:iCs/>
          <w:w w:val="106"/>
          <w:sz w:val="23"/>
          <w:szCs w:val="23"/>
        </w:rPr>
        <w:t xml:space="preserve">LEI MUNICIPAL N.o 542/GP/PMMN/2014 DE </w:t>
      </w:r>
      <w:r>
        <w:rPr>
          <w:rFonts w:ascii="Times New Roman" w:hAnsi="Times New Roman" w:cs="Times New Roman"/>
          <w:b/>
          <w:bCs/>
          <w:w w:val="132"/>
        </w:rPr>
        <w:t xml:space="preserve">14 </w:t>
      </w:r>
      <w:r>
        <w:rPr>
          <w:b/>
          <w:bCs/>
          <w:i/>
          <w:iCs/>
          <w:w w:val="106"/>
          <w:sz w:val="23"/>
          <w:szCs w:val="23"/>
        </w:rPr>
        <w:t xml:space="preserve">DE MAIO DE 2014. </w:t>
      </w:r>
    </w:p>
    <w:p w:rsidR="00000000" w:rsidRDefault="00937374">
      <w:pPr>
        <w:pStyle w:val="Estilo"/>
        <w:framePr w:w="9907" w:h="1742" w:wrap="auto" w:hAnchor="margin" w:x="16" w:y="2593"/>
        <w:spacing w:line="278" w:lineRule="exact"/>
        <w:ind w:left="4795" w:right="28" w:firstLine="62"/>
        <w:jc w:val="both"/>
        <w:rPr>
          <w:b/>
          <w:bCs/>
          <w:sz w:val="23"/>
          <w:szCs w:val="23"/>
        </w:rPr>
      </w:pPr>
      <w:bookmarkStart w:id="0" w:name="_GoBack"/>
      <w:r>
        <w:rPr>
          <w:b/>
          <w:bCs/>
          <w:sz w:val="23"/>
          <w:szCs w:val="23"/>
        </w:rPr>
        <w:t>"AUTORIZA A ABERTURA DE CRÉDITOS ADICIONAL ESPECIAIS AO ORÇAMENTO VIGENTE E DA OUTRA</w:t>
      </w:r>
      <w:r>
        <w:rPr>
          <w:b/>
          <w:bCs/>
          <w:sz w:val="23"/>
          <w:szCs w:val="23"/>
        </w:rPr>
        <w:t xml:space="preserve">S PROVIDÊNCIAS" </w:t>
      </w:r>
    </w:p>
    <w:bookmarkEnd w:id="0"/>
    <w:p w:rsidR="00000000" w:rsidRDefault="00937374">
      <w:pPr>
        <w:pStyle w:val="Estilo"/>
        <w:framePr w:w="9907" w:h="1742" w:wrap="auto" w:hAnchor="margin" w:x="16" w:y="2593"/>
        <w:spacing w:before="273" w:line="1" w:lineRule="exact"/>
        <w:ind w:left="9" w:right="24"/>
        <w:rPr>
          <w:sz w:val="23"/>
          <w:szCs w:val="23"/>
        </w:rPr>
      </w:pPr>
    </w:p>
    <w:p w:rsidR="00000000" w:rsidRDefault="00937374">
      <w:pPr>
        <w:pStyle w:val="Estilo"/>
        <w:framePr w:w="9907" w:h="1742" w:wrap="auto" w:hAnchor="margin" w:x="16" w:y="2593"/>
        <w:spacing w:line="288" w:lineRule="exact"/>
        <w:ind w:left="9" w:right="24" w:firstLine="479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A CÂMARA MUNICIPAL DE MONTE NEGRO, ESTADO DE RONDÔNIA, aprovou e eu, Prefeito Municipal, sanciono a seguinte, </w:t>
      </w:r>
    </w:p>
    <w:p w:rsidR="00000000" w:rsidRDefault="00937374">
      <w:pPr>
        <w:pStyle w:val="Estilo"/>
        <w:framePr w:w="9892" w:h="278" w:wrap="auto" w:hAnchor="margin" w:x="30" w:y="4571"/>
        <w:spacing w:line="273" w:lineRule="exact"/>
        <w:ind w:left="4809"/>
        <w:rPr>
          <w:rFonts w:ascii="Times New Roman" w:hAnsi="Times New Roman" w:cs="Times New Roman"/>
          <w:b/>
          <w:bCs/>
          <w:w w:val="89"/>
          <w:sz w:val="26"/>
          <w:szCs w:val="26"/>
        </w:rPr>
      </w:pPr>
      <w:r>
        <w:t xml:space="preserve">L </w:t>
      </w:r>
      <w:r>
        <w:rPr>
          <w:rFonts w:ascii="Times New Roman" w:hAnsi="Times New Roman" w:cs="Times New Roman"/>
          <w:b/>
          <w:bCs/>
          <w:w w:val="89"/>
          <w:sz w:val="26"/>
          <w:szCs w:val="26"/>
        </w:rPr>
        <w:t xml:space="preserve">E I: </w:t>
      </w:r>
    </w:p>
    <w:p w:rsidR="00000000" w:rsidRDefault="00937374">
      <w:pPr>
        <w:pStyle w:val="Estilo"/>
        <w:framePr w:w="9897" w:h="1180" w:wrap="auto" w:hAnchor="margin" w:x="20" w:y="5147"/>
        <w:spacing w:line="283" w:lineRule="exact"/>
        <w:ind w:left="4" w:right="4" w:firstLine="2625"/>
        <w:jc w:val="both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Artigo </w:t>
      </w:r>
      <w:r>
        <w:rPr>
          <w:rFonts w:ascii="Times New Roman" w:hAnsi="Times New Roman" w:cs="Times New Roman"/>
          <w:b/>
          <w:bCs/>
          <w:w w:val="112"/>
        </w:rPr>
        <w:t xml:space="preserve">10 </w:t>
      </w:r>
      <w:r>
        <w:rPr>
          <w:rFonts w:ascii="Times New Roman" w:hAnsi="Times New Roman" w:cs="Times New Roman"/>
          <w:w w:val="112"/>
        </w:rPr>
        <w:t xml:space="preserve">- </w:t>
      </w:r>
      <w:r>
        <w:rPr>
          <w:sz w:val="22"/>
          <w:szCs w:val="22"/>
        </w:rPr>
        <w:t xml:space="preserve">Incluem no Plano Plurianual 2014-2017, novas metas referentes ao programa </w:t>
      </w:r>
      <w:r>
        <w:rPr>
          <w:b/>
          <w:bCs/>
          <w:sz w:val="23"/>
          <w:szCs w:val="23"/>
        </w:rPr>
        <w:t>MANUTENÇÃO DAS ESTRADAS VICINAIS,</w:t>
      </w:r>
      <w:r>
        <w:rPr>
          <w:b/>
          <w:bCs/>
          <w:sz w:val="23"/>
          <w:szCs w:val="23"/>
        </w:rPr>
        <w:t xml:space="preserve"> </w:t>
      </w:r>
      <w:r>
        <w:rPr>
          <w:sz w:val="22"/>
          <w:szCs w:val="22"/>
        </w:rPr>
        <w:t xml:space="preserve">bem como prioriza a execução da mesma na LDO 2014 através da inclusão dos Projetos Atividades descritos no </w:t>
      </w:r>
    </w:p>
    <w:p w:rsidR="00000000" w:rsidRDefault="00937374">
      <w:pPr>
        <w:pStyle w:val="Estilo"/>
        <w:framePr w:w="9897" w:h="1180" w:wrap="auto" w:hAnchor="margin" w:x="20" w:y="5147"/>
        <w:spacing w:line="292" w:lineRule="exact"/>
        <w:ind w:left="33"/>
        <w:rPr>
          <w:sz w:val="22"/>
          <w:szCs w:val="22"/>
        </w:rPr>
      </w:pPr>
      <w:r>
        <w:rPr>
          <w:sz w:val="22"/>
          <w:szCs w:val="22"/>
        </w:rPr>
        <w:t xml:space="preserve">artigo 2° desta Lei. </w:t>
      </w:r>
    </w:p>
    <w:p w:rsidR="00000000" w:rsidRDefault="00937374">
      <w:pPr>
        <w:pStyle w:val="Estilo"/>
        <w:framePr w:w="76" w:h="168" w:wrap="auto" w:hAnchor="margin" w:x="5027" w:y="6174"/>
        <w:spacing w:line="168" w:lineRule="exact"/>
        <w:rPr>
          <w:rFonts w:ascii="Times New Roman" w:hAnsi="Times New Roman" w:cs="Times New Roman"/>
          <w:i/>
          <w:iCs/>
          <w:w w:val="122"/>
          <w:sz w:val="15"/>
          <w:szCs w:val="15"/>
        </w:rPr>
      </w:pPr>
      <w:r>
        <w:rPr>
          <w:rFonts w:ascii="Times New Roman" w:hAnsi="Times New Roman" w:cs="Times New Roman"/>
          <w:i/>
          <w:iCs/>
          <w:w w:val="122"/>
          <w:sz w:val="15"/>
          <w:szCs w:val="15"/>
        </w:rPr>
        <w:t xml:space="preserve">r </w:t>
      </w:r>
    </w:p>
    <w:p w:rsidR="00000000" w:rsidRDefault="00937374">
      <w:pPr>
        <w:pStyle w:val="Estilo"/>
        <w:framePr w:w="9897" w:h="902" w:wrap="auto" w:hAnchor="margin" w:x="30" w:y="6539"/>
        <w:spacing w:line="283" w:lineRule="exact"/>
        <w:ind w:left="4" w:right="4" w:firstLine="2625"/>
        <w:jc w:val="both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Artigo 2° </w:t>
      </w:r>
      <w:r>
        <w:rPr>
          <w:sz w:val="23"/>
          <w:szCs w:val="23"/>
        </w:rPr>
        <w:t xml:space="preserve">- </w:t>
      </w:r>
      <w:r>
        <w:rPr>
          <w:sz w:val="22"/>
          <w:szCs w:val="22"/>
        </w:rPr>
        <w:t xml:space="preserve">Fica o Executivo Municipal autorizado a abrir Crédito Adicional Especial ao orçamento vigente no valor de R$ 496.480,56 (Quatrocentos e Noventa e Seis Mil, Quatrocentos e Oitenta Reais, Cinquenta e Seis Centavos), conforme a seguir: </w:t>
      </w:r>
    </w:p>
    <w:p w:rsidR="00000000" w:rsidRDefault="00937374">
      <w:pPr>
        <w:pStyle w:val="Estilo"/>
        <w:framePr w:w="9907" w:h="1464" w:wrap="auto" w:hAnchor="margin" w:x="30" w:y="7667"/>
        <w:spacing w:line="292" w:lineRule="exact"/>
        <w:ind w:left="14" w:right="1214"/>
        <w:rPr>
          <w:b/>
          <w:bCs/>
          <w:sz w:val="23"/>
          <w:szCs w:val="23"/>
        </w:rPr>
      </w:pPr>
      <w:r>
        <w:rPr>
          <w:sz w:val="22"/>
          <w:szCs w:val="22"/>
        </w:rPr>
        <w:t xml:space="preserve">02.04.00 - SECRETARIA </w:t>
      </w:r>
      <w:r>
        <w:rPr>
          <w:sz w:val="22"/>
          <w:szCs w:val="22"/>
        </w:rPr>
        <w:t xml:space="preserve">MUNICIPAL DE GESTÃO EM OBRAS E SERVIÇOS PÚBUCOS </w:t>
      </w:r>
      <w:r>
        <w:rPr>
          <w:b/>
          <w:bCs/>
          <w:sz w:val="23"/>
          <w:szCs w:val="23"/>
        </w:rPr>
        <w:t xml:space="preserve">26.78200091.120 - Convênio FHITA 2014 </w:t>
      </w:r>
    </w:p>
    <w:p w:rsidR="00000000" w:rsidRDefault="00937374">
      <w:pPr>
        <w:pStyle w:val="Estilo"/>
        <w:framePr w:w="9907" w:h="1464" w:wrap="auto" w:hAnchor="margin" w:x="30" w:y="7667"/>
        <w:spacing w:line="292" w:lineRule="exact"/>
        <w:ind w:left="33"/>
        <w:rPr>
          <w:sz w:val="22"/>
          <w:szCs w:val="22"/>
        </w:rPr>
      </w:pPr>
      <w:r>
        <w:rPr>
          <w:sz w:val="22"/>
          <w:szCs w:val="22"/>
        </w:rPr>
        <w:t xml:space="preserve">3.3.9.0-30 - Material de Consumo </w:t>
      </w:r>
    </w:p>
    <w:p w:rsidR="00000000" w:rsidRDefault="00937374">
      <w:pPr>
        <w:pStyle w:val="Estilo"/>
        <w:framePr w:w="9907" w:h="1464" w:wrap="auto" w:hAnchor="margin" w:x="30" w:y="7667"/>
        <w:spacing w:line="292" w:lineRule="exact"/>
        <w:ind w:left="33"/>
        <w:rPr>
          <w:sz w:val="22"/>
          <w:szCs w:val="22"/>
        </w:rPr>
      </w:pPr>
      <w:r>
        <w:rPr>
          <w:sz w:val="22"/>
          <w:szCs w:val="22"/>
        </w:rPr>
        <w:t xml:space="preserve">R$ 496.480,56 (Quatrocentos e Noventa e Seis Mil, Quatrocentos e Oitenta Reais, Cinquenta e Seis Centavos). </w:t>
      </w:r>
    </w:p>
    <w:p w:rsidR="00000000" w:rsidRDefault="00937374">
      <w:pPr>
        <w:pStyle w:val="Estilo"/>
        <w:framePr w:w="9926" w:h="1180" w:wrap="auto" w:hAnchor="margin" w:x="30" w:y="9352"/>
        <w:spacing w:line="283" w:lineRule="exact"/>
        <w:ind w:left="33" w:right="4" w:firstLine="2731"/>
        <w:jc w:val="both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Artigo </w:t>
      </w:r>
      <w:r>
        <w:rPr>
          <w:rFonts w:ascii="Times New Roman" w:hAnsi="Times New Roman" w:cs="Times New Roman"/>
          <w:b/>
          <w:bCs/>
          <w:w w:val="107"/>
        </w:rPr>
        <w:t xml:space="preserve">30 </w:t>
      </w:r>
      <w:r>
        <w:rPr>
          <w:rFonts w:ascii="Times New Roman" w:hAnsi="Times New Roman" w:cs="Times New Roman"/>
          <w:w w:val="107"/>
        </w:rPr>
        <w:t xml:space="preserve">- </w:t>
      </w:r>
      <w:r>
        <w:rPr>
          <w:sz w:val="22"/>
          <w:szCs w:val="22"/>
        </w:rPr>
        <w:t>A cobertura de</w:t>
      </w:r>
      <w:r>
        <w:rPr>
          <w:sz w:val="22"/>
          <w:szCs w:val="22"/>
        </w:rPr>
        <w:t xml:space="preserve"> dotação dos valores descritos no artigo 20 no valor de R$ 496.480,56 (Quatrocentos e Noventa e Seis Mil, Quatrocentos e Oitenta Reais, Cinquenta e Seis Centavos), será por Excesso de Arrecadação, fonte de recursos Convênio nO 006j2014jFHITA. </w:t>
      </w:r>
    </w:p>
    <w:p w:rsidR="00000000" w:rsidRDefault="00937374">
      <w:pPr>
        <w:pStyle w:val="Estilo"/>
        <w:framePr w:w="9936" w:h="614" w:wrap="auto" w:hAnchor="margin" w:x="30" w:y="10773"/>
        <w:spacing w:line="268" w:lineRule="exact"/>
        <w:ind w:left="2779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Artigo 4° </w:t>
      </w:r>
      <w:r>
        <w:rPr>
          <w:sz w:val="23"/>
          <w:szCs w:val="23"/>
        </w:rPr>
        <w:t xml:space="preserve">- </w:t>
      </w:r>
      <w:r>
        <w:rPr>
          <w:sz w:val="22"/>
          <w:szCs w:val="22"/>
        </w:rPr>
        <w:t>Esta Le</w:t>
      </w:r>
      <w:r>
        <w:rPr>
          <w:sz w:val="22"/>
          <w:szCs w:val="22"/>
          <w:u w:val="single"/>
        </w:rPr>
        <w:t>i entra em</w:t>
      </w:r>
      <w:r>
        <w:rPr>
          <w:sz w:val="22"/>
          <w:szCs w:val="22"/>
        </w:rPr>
        <w:t xml:space="preserve"> vigor na data da sua publicação, </w:t>
      </w:r>
    </w:p>
    <w:p w:rsidR="00000000" w:rsidRDefault="00937374">
      <w:pPr>
        <w:pStyle w:val="Estilo"/>
        <w:framePr w:w="9936" w:h="614" w:wrap="auto" w:hAnchor="margin" w:x="30" w:y="10773"/>
        <w:spacing w:line="292" w:lineRule="exact"/>
        <w:ind w:left="33"/>
        <w:rPr>
          <w:sz w:val="22"/>
          <w:szCs w:val="22"/>
        </w:rPr>
      </w:pPr>
      <w:r>
        <w:rPr>
          <w:sz w:val="22"/>
          <w:szCs w:val="22"/>
        </w:rPr>
        <w:t xml:space="preserve">revogadas as disposições ao contrário. </w:t>
      </w:r>
    </w:p>
    <w:p w:rsidR="00000000" w:rsidRDefault="00976F68">
      <w:pPr>
        <w:pStyle w:val="Estilo"/>
        <w:numPr>
          <w:ilvl w:val="0"/>
          <w:numId w:val="2"/>
        </w:numPr>
        <w:tabs>
          <w:tab w:val="clear" w:pos="360"/>
        </w:tabs>
        <w:spacing w:line="1" w:lineRule="exac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2249805</wp:posOffset>
            </wp:positionH>
            <wp:positionV relativeFrom="margin">
              <wp:posOffset>7062470</wp:posOffset>
            </wp:positionV>
            <wp:extent cx="2035810" cy="1292225"/>
            <wp:effectExtent l="0" t="0" r="2540" b="3175"/>
            <wp:wrapThrough wrapText="bothSides">
              <wp:wrapPolygon edited="0">
                <wp:start x="0" y="0"/>
                <wp:lineTo x="0" y="21335"/>
                <wp:lineTo x="21425" y="21335"/>
                <wp:lineTo x="21425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976F68">
      <w:pPr>
        <w:pStyle w:val="Estilo"/>
        <w:numPr>
          <w:ilvl w:val="0"/>
          <w:numId w:val="2"/>
        </w:numPr>
        <w:tabs>
          <w:tab w:val="clear" w:pos="360"/>
        </w:tabs>
        <w:spacing w:line="1" w:lineRule="exac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4675505</wp:posOffset>
            </wp:positionH>
            <wp:positionV relativeFrom="margin">
              <wp:posOffset>7952740</wp:posOffset>
            </wp:positionV>
            <wp:extent cx="2096770" cy="1341120"/>
            <wp:effectExtent l="0" t="0" r="0" b="0"/>
            <wp:wrapThrough wrapText="bothSides">
              <wp:wrapPolygon edited="0">
                <wp:start x="0" y="0"/>
                <wp:lineTo x="0" y="21170"/>
                <wp:lineTo x="21391" y="21170"/>
                <wp:lineTo x="21391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937374">
      <w:pPr>
        <w:pStyle w:val="Estilo"/>
        <w:framePr w:w="7977" w:h="628" w:wrap="auto" w:hAnchor="margin" w:x="30" w:y="13163"/>
        <w:spacing w:line="182" w:lineRule="exact"/>
        <w:ind w:left="27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Praça Paulo Miotto, 2330 - Centro - Fones/Fax: (69) 3530-3261 </w:t>
      </w:r>
    </w:p>
    <w:p w:rsidR="00000000" w:rsidRDefault="00937374">
      <w:pPr>
        <w:pStyle w:val="Estilo"/>
        <w:framePr w:w="7977" w:h="628" w:wrap="auto" w:hAnchor="margin" w:x="30" w:y="13163"/>
        <w:spacing w:before="4" w:line="1" w:lineRule="exact"/>
        <w:ind w:left="1934"/>
        <w:rPr>
          <w:rFonts w:ascii="Times New Roman" w:hAnsi="Times New Roman" w:cs="Times New Roman"/>
          <w:sz w:val="16"/>
          <w:szCs w:val="16"/>
        </w:rPr>
      </w:pPr>
    </w:p>
    <w:p w:rsidR="00937374" w:rsidRDefault="00937374">
      <w:pPr>
        <w:pStyle w:val="Estilo"/>
        <w:framePr w:w="7977" w:h="628" w:wrap="auto" w:hAnchor="margin" w:x="30" w:y="13163"/>
        <w:spacing w:line="196" w:lineRule="exact"/>
        <w:ind w:left="193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CEP: 76.888-000 - CNPJ: 63.761.0985/0001-98 - MONTE NEGRO - RONDÓNIA E-MAIL: </w:t>
      </w:r>
      <w:hyperlink r:id="rId8" w:history="1">
        <w:r>
          <w:rPr>
            <w:rFonts w:ascii="Times New Roman" w:hAnsi="Times New Roman" w:cs="Times New Roman"/>
            <w:sz w:val="16"/>
            <w:szCs w:val="16"/>
            <w:u w:val="single"/>
          </w:rPr>
          <w:t>gabinete@montenegro.ro.gov.br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937374">
      <w:pgSz w:w="11907" w:h="16840"/>
      <w:pgMar w:top="1396" w:right="1061" w:bottom="360" w:left="88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937374"/>
    <w:rsid w:val="0097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e@montenegro.ro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keywords>CreatedByIRIS_Readiris_12.02</cp:keywords>
  <cp:lastModifiedBy>USUÁRIO</cp:lastModifiedBy>
  <cp:revision>2</cp:revision>
  <dcterms:created xsi:type="dcterms:W3CDTF">2014-05-22T16:50:00Z</dcterms:created>
  <dcterms:modified xsi:type="dcterms:W3CDTF">2014-05-22T16:50:00Z</dcterms:modified>
</cp:coreProperties>
</file>